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rPr>
          <w:color w:val="auto"/>
        </w:rPr>
      </w:pPr>
    </w:p>
    <w:p>
      <w:pPr>
        <w:pStyle w:val="2"/>
        <w:spacing w:line="560" w:lineRule="exact"/>
        <w:rPr>
          <w:color w:val="auto"/>
        </w:rPr>
      </w:pPr>
    </w:p>
    <w:p>
      <w:pPr>
        <w:adjustRightInd w:val="0"/>
        <w:snapToGrid w:val="0"/>
        <w:spacing w:line="560" w:lineRule="exact"/>
        <w:jc w:val="center"/>
        <w:rPr>
          <w:rFonts w:hint="eastAsia" w:ascii="方正小标宋_GBK" w:hAnsi="方正小标宋_GBK" w:eastAsia="方正小标宋_GBK" w:cs="方正小标宋_GBK"/>
          <w:bCs/>
          <w:color w:val="auto"/>
          <w:spacing w:val="0"/>
          <w:kern w:val="0"/>
          <w:sz w:val="44"/>
          <w:szCs w:val="44"/>
        </w:rPr>
      </w:pPr>
      <w:r>
        <w:rPr>
          <w:rFonts w:hint="eastAsia" w:ascii="方正小标宋_GBK" w:hAnsi="方正小标宋_GBK" w:eastAsia="方正小标宋_GBK" w:cs="方正小标宋_GBK"/>
          <w:bCs/>
          <w:color w:val="auto"/>
          <w:spacing w:val="0"/>
          <w:kern w:val="0"/>
          <w:sz w:val="44"/>
          <w:szCs w:val="44"/>
        </w:rPr>
        <w:t>政府工作报告</w:t>
      </w:r>
    </w:p>
    <w:p>
      <w:pPr>
        <w:adjustRightInd w:val="0"/>
        <w:snapToGrid w:val="0"/>
        <w:spacing w:line="560" w:lineRule="exact"/>
        <w:jc w:val="center"/>
        <w:rPr>
          <w:rFonts w:ascii="楷体_GB2312" w:hAnsi="楷体" w:eastAsia="楷体_GB2312"/>
          <w:color w:val="auto"/>
          <w:spacing w:val="0"/>
          <w:kern w:val="0"/>
          <w:sz w:val="32"/>
          <w:szCs w:val="32"/>
        </w:rPr>
      </w:pPr>
    </w:p>
    <w:p>
      <w:pPr>
        <w:pStyle w:val="15"/>
        <w:spacing w:before="0" w:beforeAutospacing="0" w:after="0" w:afterAutospacing="0" w:line="578" w:lineRule="exact"/>
        <w:ind w:left="1"/>
        <w:jc w:val="center"/>
        <w:textAlignment w:val="baseline"/>
        <w:rPr>
          <w:rFonts w:hint="eastAsia" w:ascii="楷体_GB2312" w:hAnsi="楷体" w:eastAsia="楷体_GB2312" w:cs="宋体"/>
          <w:b w:val="0"/>
          <w:bCs w:val="0"/>
          <w:color w:val="auto"/>
          <w:spacing w:val="0"/>
          <w:kern w:val="0"/>
          <w:sz w:val="32"/>
          <w:szCs w:val="32"/>
          <w:lang w:val="en-US" w:eastAsia="zh-CN" w:bidi="ar-SA"/>
        </w:rPr>
      </w:pPr>
      <w:r>
        <w:rPr>
          <w:rFonts w:hint="eastAsia" w:ascii="楷体_GB2312" w:hAnsi="楷体" w:eastAsia="楷体_GB2312" w:cs="宋体"/>
          <w:b w:val="0"/>
          <w:bCs w:val="0"/>
          <w:color w:val="auto"/>
          <w:spacing w:val="0"/>
          <w:kern w:val="0"/>
          <w:sz w:val="32"/>
          <w:szCs w:val="32"/>
          <w:lang w:val="en-US" w:eastAsia="zh-CN" w:bidi="ar-SA"/>
        </w:rPr>
        <w:t>——2023年1月10日在临河区第十八届</w:t>
      </w:r>
    </w:p>
    <w:p>
      <w:pPr>
        <w:pStyle w:val="15"/>
        <w:spacing w:before="0" w:beforeAutospacing="0" w:after="0" w:afterAutospacing="0" w:line="578" w:lineRule="exact"/>
        <w:ind w:left="1"/>
        <w:jc w:val="center"/>
        <w:textAlignment w:val="baseline"/>
        <w:rPr>
          <w:rFonts w:hint="eastAsia" w:ascii="楷体_GB2312" w:hAnsi="楷体" w:eastAsia="楷体_GB2312" w:cs="宋体"/>
          <w:b w:val="0"/>
          <w:bCs w:val="0"/>
          <w:color w:val="auto"/>
          <w:spacing w:val="0"/>
          <w:kern w:val="0"/>
          <w:sz w:val="32"/>
          <w:szCs w:val="32"/>
          <w:lang w:val="en-US" w:eastAsia="zh-CN" w:bidi="ar-SA"/>
        </w:rPr>
      </w:pPr>
      <w:r>
        <w:rPr>
          <w:rFonts w:hint="eastAsia" w:ascii="楷体_GB2312" w:hAnsi="楷体" w:eastAsia="楷体_GB2312" w:cs="宋体"/>
          <w:b w:val="0"/>
          <w:bCs w:val="0"/>
          <w:color w:val="auto"/>
          <w:spacing w:val="0"/>
          <w:kern w:val="0"/>
          <w:sz w:val="32"/>
          <w:szCs w:val="32"/>
          <w:lang w:val="en-US" w:eastAsia="zh-CN" w:bidi="ar-SA"/>
        </w:rPr>
        <w:t>人民代表大会第二次会议上</w:t>
      </w:r>
    </w:p>
    <w:p>
      <w:pPr>
        <w:keepNext w:val="0"/>
        <w:keepLines w:val="0"/>
        <w:pageBreakBefore w:val="0"/>
        <w:widowControl w:val="0"/>
        <w:kinsoku/>
        <w:wordWrap/>
        <w:overflowPunct/>
        <w:topLinePunct w:val="0"/>
        <w:autoSpaceDE/>
        <w:autoSpaceDN/>
        <w:bidi w:val="0"/>
        <w:adjustRightInd w:val="0"/>
        <w:snapToGrid w:val="0"/>
        <w:spacing w:beforeLines="50" w:line="576" w:lineRule="exact"/>
        <w:jc w:val="center"/>
        <w:textAlignment w:val="auto"/>
        <w:rPr>
          <w:rFonts w:ascii="楷体_GB2312" w:hAnsi="楷体" w:eastAsia="楷体_GB2312"/>
          <w:b w:val="0"/>
          <w:bCs w:val="0"/>
          <w:color w:val="auto"/>
          <w:spacing w:val="0"/>
          <w:kern w:val="0"/>
          <w:sz w:val="32"/>
          <w:szCs w:val="32"/>
        </w:rPr>
      </w:pPr>
      <w:r>
        <w:rPr>
          <w:rFonts w:hint="eastAsia" w:ascii="楷体_GB2312" w:hAnsi="楷体" w:eastAsia="楷体_GB2312"/>
          <w:b w:val="0"/>
          <w:bCs w:val="0"/>
          <w:color w:val="auto"/>
          <w:spacing w:val="0"/>
          <w:kern w:val="0"/>
          <w:sz w:val="32"/>
          <w:szCs w:val="32"/>
        </w:rPr>
        <w:t>临河区人民政府常务副区长</w:t>
      </w:r>
      <w:r>
        <w:rPr>
          <w:rFonts w:hint="eastAsia" w:ascii="楷体_GB2312" w:hAnsi="楷体" w:eastAsia="楷体_GB2312"/>
          <w:b w:val="0"/>
          <w:bCs w:val="0"/>
          <w:color w:val="auto"/>
          <w:spacing w:val="0"/>
          <w:kern w:val="0"/>
          <w:sz w:val="32"/>
          <w:szCs w:val="32"/>
          <w:lang w:val="en-US" w:eastAsia="zh-CN"/>
        </w:rPr>
        <w:t xml:space="preserve">  </w:t>
      </w:r>
      <w:r>
        <w:rPr>
          <w:rFonts w:hint="eastAsia" w:ascii="楷体_GB2312" w:hAnsi="楷体" w:eastAsia="楷体_GB2312"/>
          <w:b w:val="0"/>
          <w:bCs w:val="0"/>
          <w:color w:val="auto"/>
          <w:spacing w:val="0"/>
          <w:kern w:val="0"/>
          <w:sz w:val="32"/>
          <w:szCs w:val="32"/>
        </w:rPr>
        <w:t>蔺晓东</w:t>
      </w:r>
    </w:p>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仿宋_GB2312" w:hAnsi="Times New Roman" w:eastAsia="仿宋_GB2312" w:cs="仿宋_GB2312"/>
          <w:snapToGrid w:val="0"/>
          <w:color w:val="auto"/>
          <w:spacing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b w:val="0"/>
          <w:bCs/>
          <w:color w:val="auto"/>
          <w:spacing w:val="0"/>
          <w:sz w:val="32"/>
          <w:szCs w:val="32"/>
          <w:highlight w:val="none"/>
          <w:u w:val="none"/>
          <w:lang w:val="en-US" w:eastAsia="zh-CN"/>
        </w:rPr>
      </w:pPr>
      <w:r>
        <w:rPr>
          <w:rFonts w:hint="default" w:ascii="Times New Roman" w:hAnsi="Times New Roman" w:eastAsia="仿宋_GB2312" w:cs="Times New Roman"/>
          <w:b w:val="0"/>
          <w:bCs/>
          <w:color w:val="auto"/>
          <w:spacing w:val="0"/>
          <w:sz w:val="32"/>
          <w:szCs w:val="32"/>
          <w:highlight w:val="none"/>
          <w:u w:val="none"/>
          <w:lang w:val="en-US" w:eastAsia="zh-CN"/>
        </w:rPr>
        <w:t>各位代表：</w:t>
      </w:r>
      <w:bookmarkStart w:id="1" w:name="_GoBack"/>
      <w:bookmarkEnd w:id="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color w:val="auto"/>
          <w:spacing w:val="0"/>
          <w:sz w:val="32"/>
          <w:szCs w:val="32"/>
          <w:highlight w:val="none"/>
          <w:u w:val="none"/>
          <w:lang w:val="en-US" w:eastAsia="zh-CN"/>
        </w:rPr>
      </w:pPr>
      <w:r>
        <w:rPr>
          <w:rFonts w:hint="default" w:ascii="Times New Roman" w:hAnsi="Times New Roman" w:eastAsia="仿宋_GB2312" w:cs="Times New Roman"/>
          <w:b w:val="0"/>
          <w:bCs/>
          <w:color w:val="auto"/>
          <w:spacing w:val="0"/>
          <w:sz w:val="32"/>
          <w:szCs w:val="32"/>
          <w:highlight w:val="none"/>
          <w:u w:val="none"/>
          <w:lang w:val="en-US" w:eastAsia="zh-CN"/>
        </w:rPr>
        <w:t>现在，我代表临河区人民政府，向大会报告工作，请予审议，并请政协委员和列席会议的同志提出意见。</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76"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auto"/>
          <w:spacing w:val="0"/>
          <w:sz w:val="32"/>
          <w:szCs w:val="32"/>
          <w:highlight w:val="none"/>
          <w:u w:val="none"/>
          <w:lang w:eastAsia="zh-CN"/>
        </w:rPr>
      </w:pPr>
      <w:r>
        <w:rPr>
          <w:rFonts w:hint="eastAsia" w:ascii="黑体" w:hAnsi="黑体" w:eastAsia="黑体" w:cs="黑体"/>
          <w:b w:val="0"/>
          <w:bCs w:val="0"/>
          <w:color w:val="auto"/>
          <w:spacing w:val="0"/>
          <w:sz w:val="32"/>
          <w:szCs w:val="32"/>
          <w:highlight w:val="none"/>
          <w:u w:val="none"/>
          <w:lang w:val="en-US" w:eastAsia="zh-CN"/>
        </w:rPr>
        <w:t>一、2022年</w:t>
      </w:r>
      <w:r>
        <w:rPr>
          <w:rFonts w:hint="eastAsia" w:ascii="黑体" w:hAnsi="黑体" w:eastAsia="黑体" w:cs="黑体"/>
          <w:b w:val="0"/>
          <w:bCs w:val="0"/>
          <w:color w:val="auto"/>
          <w:spacing w:val="0"/>
          <w:sz w:val="32"/>
          <w:szCs w:val="32"/>
          <w:highlight w:val="none"/>
          <w:u w:val="none"/>
          <w:lang w:eastAsia="zh-CN"/>
        </w:rPr>
        <w:t>工作回顾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auto"/>
          <w:spacing w:val="0"/>
          <w:sz w:val="32"/>
          <w:szCs w:val="32"/>
          <w:highlight w:val="none"/>
          <w:u w:val="none"/>
          <w:lang w:val="en-US" w:eastAsia="zh-CN"/>
        </w:rPr>
      </w:pPr>
      <w:r>
        <w:rPr>
          <w:rFonts w:hint="eastAsia" w:ascii="仿宋_GB2312" w:hAnsi="仿宋_GB2312" w:eastAsia="仿宋_GB2312" w:cs="仿宋_GB2312"/>
          <w:b w:val="0"/>
          <w:bCs/>
          <w:color w:val="auto"/>
          <w:spacing w:val="0"/>
          <w:sz w:val="32"/>
          <w:szCs w:val="32"/>
          <w:highlight w:val="none"/>
          <w:u w:val="none"/>
          <w:lang w:val="en-US" w:eastAsia="zh-CN"/>
        </w:rPr>
        <w:t>过去的一年，是极不平凡、极其艰难、极为难忘的一年。面对严峻复杂的宏观经济形势和新冠疫情的多轮冲击，在区委的坚强领导下，我们坚持以习近平新时代中国特色社会主义思想为指导，深入学习贯彻党的十九大及历次全会精神、党的二十大精神和习近平总书记对内蒙古重要讲话重要指示批示精神，全面落实党中央“疫情要防住，经济要稳住，发展要安全”要求，围绕年初确定的目标任务，高效统筹疫情防控和经济社会发展，踔厉奋发、勇毅前行，全区经济社会呈现总体平稳、稳中有进的高质量发展态势。</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200"/>
        <w:jc w:val="both"/>
        <w:textAlignment w:val="auto"/>
        <w:rPr>
          <w:rFonts w:hint="eastAsia" w:ascii="仿宋_GB2312" w:hAnsi="仿宋_GB2312" w:eastAsia="仿宋_GB2312" w:cs="仿宋_GB2312"/>
          <w:color w:val="auto"/>
          <w:spacing w:val="0"/>
          <w:kern w:val="0"/>
          <w:sz w:val="32"/>
          <w:szCs w:val="32"/>
          <w:u w:val="none"/>
          <w:lang w:val="en-US" w:eastAsia="zh-CN"/>
        </w:rPr>
      </w:pPr>
      <w:r>
        <w:rPr>
          <w:rFonts w:hint="eastAsia" w:ascii="楷体_GB2312" w:hAnsi="楷体_GB2312" w:eastAsia="楷体_GB2312" w:cs="楷体_GB2312"/>
          <w:b/>
          <w:bCs w:val="0"/>
          <w:color w:val="auto"/>
          <w:spacing w:val="-4"/>
          <w:sz w:val="32"/>
          <w:szCs w:val="32"/>
          <w:highlight w:val="none"/>
          <w:u w:val="none"/>
          <w:lang w:val="en-US" w:eastAsia="zh-CN"/>
        </w:rPr>
        <w:t>这一年，我们保持定力，在推动经济转型中壮大了临河实力</w:t>
      </w:r>
      <w:r>
        <w:rPr>
          <w:rFonts w:hint="eastAsia" w:ascii="楷体_GB2312" w:hAnsi="楷体_GB2312" w:eastAsia="楷体_GB2312" w:cs="楷体_GB2312"/>
          <w:b/>
          <w:bCs w:val="0"/>
          <w:color w:val="auto"/>
          <w:spacing w:val="0"/>
          <w:sz w:val="32"/>
          <w:szCs w:val="32"/>
          <w:highlight w:val="none"/>
          <w:u w:val="none"/>
          <w:lang w:val="en-US" w:eastAsia="zh-CN"/>
        </w:rPr>
        <w:t>。</w:t>
      </w:r>
      <w:r>
        <w:rPr>
          <w:rFonts w:hint="eastAsia" w:ascii="仿宋_GB2312" w:hAnsi="仿宋_GB2312" w:eastAsia="仿宋_GB2312" w:cs="仿宋_GB2312"/>
          <w:color w:val="auto"/>
          <w:spacing w:val="0"/>
          <w:sz w:val="32"/>
          <w:szCs w:val="32"/>
          <w:u w:val="none"/>
          <w:lang w:val="en-US" w:eastAsia="zh-CN"/>
        </w:rPr>
        <w:t>全面落实国家、自治区、巴彦淖尔市稳经济一揽子政策，新增减税降费、</w:t>
      </w:r>
      <w:r>
        <w:rPr>
          <w:rFonts w:hint="eastAsia" w:ascii="仿宋_GB2312" w:hAnsi="仿宋_GB2312" w:eastAsia="仿宋_GB2312" w:cs="仿宋_GB2312"/>
          <w:color w:val="auto"/>
          <w:spacing w:val="0"/>
          <w:kern w:val="0"/>
          <w:sz w:val="32"/>
          <w:szCs w:val="32"/>
          <w:u w:val="none"/>
          <w:lang w:val="en-US" w:eastAsia="zh-CN"/>
        </w:rPr>
        <w:t>留抵退税、缓缴税费8.1亿元，办理延期还贷11.5亿元。实施重大项目49项，完成投资69.2亿元，引进国内到位资金32.1亿元。加快化解政府隐性债务，完成清理拖欠民营企业欠款年度任务。妥善处置国有企业金融风险，积极防控房地产企业履约风险，守住了不发生系统性风险的底线。预计全年实现地区生产总值335亿元，规模以上工业增加值64亿元，固定资产投资81.4亿元，社会消费品零售总额107.6亿元，一般公共预算收入16.5亿元，城乡居民人均可支配收入分别达到39956元、26463元，成功入选西部百强区。</w:t>
      </w:r>
    </w:p>
    <w:p>
      <w:pPr>
        <w:keepNext w:val="0"/>
        <w:keepLines w:val="0"/>
        <w:pageBreakBefore w:val="0"/>
        <w:widowControl w:val="0"/>
        <w:suppressLineNumbers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color w:val="auto"/>
          <w:spacing w:val="0"/>
          <w:sz w:val="32"/>
          <w:szCs w:val="32"/>
          <w:u w:val="none"/>
          <w:lang w:val="en-US" w:eastAsia="zh-CN"/>
        </w:rPr>
      </w:pPr>
      <w:r>
        <w:rPr>
          <w:rFonts w:hint="eastAsia" w:ascii="楷体_GB2312" w:hAnsi="楷体_GB2312" w:eastAsia="楷体_GB2312" w:cs="楷体_GB2312"/>
          <w:b/>
          <w:bCs w:val="0"/>
          <w:color w:val="auto"/>
          <w:spacing w:val="0"/>
          <w:sz w:val="32"/>
          <w:szCs w:val="32"/>
          <w:highlight w:val="none"/>
          <w:u w:val="none"/>
          <w:lang w:val="en-US" w:eastAsia="zh-CN"/>
        </w:rPr>
        <w:t>这一年，我们先行先试，在推进乡村振兴中提供了临河经验。</w:t>
      </w:r>
      <w:r>
        <w:rPr>
          <w:rFonts w:hint="eastAsia" w:ascii="仿宋_GB2312" w:hAnsi="仿宋_GB2312" w:eastAsia="仿宋_GB2312" w:cs="仿宋_GB2312"/>
          <w:color w:val="auto"/>
          <w:spacing w:val="0"/>
          <w:sz w:val="32"/>
          <w:szCs w:val="32"/>
          <w:u w:val="none"/>
          <w:lang w:val="en-US" w:eastAsia="zh-CN"/>
        </w:rPr>
        <w:t>粮食安全保障能力稳步上升，全区粮食播种118.6万亩；新建高标准农田23万亩，新增流转土地13万亩，落实订单种植123万亩。有序推进25个科技示范园区建设，君牛万头肉牛园区建成投运，奶业振兴产业园进展顺利，奶牛存栏2.5万头，日产鲜奶143吨以上。实施整村推进标准化肉羊养殖，肉羊饲养量达到580万只以上。兽医社会化服务工作入选自治区试点名单。新增“二品一标”和“天赋河套”区域公用品牌</w:t>
      </w:r>
      <w:r>
        <w:rPr>
          <w:rFonts w:hint="eastAsia" w:ascii="仿宋_GB2312" w:hAnsi="仿宋_GB2312" w:eastAsia="仿宋_GB2312" w:cs="仿宋_GB2312"/>
          <w:color w:val="auto"/>
          <w:spacing w:val="0"/>
          <w:kern w:val="0"/>
          <w:sz w:val="32"/>
          <w:szCs w:val="32"/>
          <w:u w:val="none"/>
          <w:lang w:val="en-US" w:eastAsia="zh-CN"/>
        </w:rPr>
        <w:t>9</w:t>
      </w:r>
      <w:r>
        <w:rPr>
          <w:rFonts w:hint="eastAsia" w:ascii="仿宋_GB2312" w:hAnsi="仿宋_GB2312" w:eastAsia="仿宋_GB2312" w:cs="仿宋_GB2312"/>
          <w:color w:val="auto"/>
          <w:spacing w:val="0"/>
          <w:sz w:val="32"/>
          <w:szCs w:val="32"/>
          <w:u w:val="none"/>
          <w:lang w:val="en-US" w:eastAsia="zh-CN"/>
        </w:rPr>
        <w:t>个，纳入国家追溯平台企业45家。脱贫攻坚与乡村振兴有效衔接，健全完善防止返贫动态监测和帮扶工作机制，新识别监测对象做到应识尽识、应帮尽帮；乡村特色产业和村集体经济持续壮大，新建太阳能储热（石墨烯）温室、肉牛“托管代养”等项目12个，真正让群众脱贫不返贫，日子更红火。</w:t>
      </w:r>
      <w:r>
        <w:rPr>
          <w:rFonts w:hint="eastAsia" w:ascii="仿宋_GB2312" w:hAnsi="仿宋_GB2312" w:eastAsia="仿宋_GB2312" w:cs="仿宋_GB2312"/>
          <w:b w:val="0"/>
          <w:bCs/>
          <w:color w:val="auto"/>
          <w:spacing w:val="0"/>
          <w:sz w:val="32"/>
          <w:szCs w:val="32"/>
          <w:u w:val="none"/>
          <w:lang w:val="en-US" w:eastAsia="zh-CN"/>
        </w:rPr>
        <w:t>改造农村危房87户，新改扩建农村公路229公里、改造危桥46座；衬砌支渠31.4公里，更新改造农村饮用水管网1425公里；创建自治区级乡村绿化美化示范村16个，完成绿化造林7.5万亩，乡村生产生活条件明显改善。</w:t>
      </w:r>
      <w:r>
        <w:rPr>
          <w:rFonts w:hint="eastAsia" w:ascii="仿宋_GB2312" w:hAnsi="仿宋_GB2312" w:eastAsia="仿宋_GB2312" w:cs="仿宋_GB2312"/>
          <w:color w:val="auto"/>
          <w:spacing w:val="0"/>
          <w:sz w:val="32"/>
          <w:szCs w:val="32"/>
          <w:u w:val="none"/>
          <w:lang w:val="en-US" w:eastAsia="zh-CN"/>
        </w:rPr>
        <w:t>“十强镇、百强村、千强户”示范创建活动深入推进，双河镇进步村被评为2022年中国美丽休闲乡村。</w:t>
      </w:r>
      <w:r>
        <w:rPr>
          <w:rFonts w:hint="eastAsia" w:ascii="仿宋_GB2312" w:hAnsi="仿宋_GB2312" w:eastAsia="仿宋_GB2312" w:cs="仿宋_GB2312"/>
          <w:b w:val="0"/>
          <w:bCs/>
          <w:color w:val="auto"/>
          <w:spacing w:val="0"/>
          <w:sz w:val="32"/>
          <w:szCs w:val="32"/>
          <w:u w:val="none"/>
          <w:lang w:val="en-US" w:eastAsia="zh-CN"/>
        </w:rPr>
        <w:t>国家级农民合作社质量提升、农业社会化服务、农村综合性改革等工作创新开展，新华镇数字化服务管理指挥平台在18个国家试点中领先，新华镇新丰村入选2022年全国乡村特色产业超亿元村名单，瘤胃胶囊入选国家农业“火花技术”成果库，牛瘤胃胶囊使我国成为继美国、德国、韩国后第四个攻克相关技术的国家，羊瘤胃胶囊成为了世界第一，</w:t>
      </w:r>
      <w:r>
        <w:rPr>
          <w:rFonts w:hint="eastAsia" w:ascii="仿宋_GB2312" w:hAnsi="仿宋_GB2312" w:eastAsia="仿宋_GB2312" w:cs="仿宋_GB2312"/>
          <w:color w:val="auto"/>
          <w:spacing w:val="0"/>
          <w:sz w:val="32"/>
          <w:szCs w:val="32"/>
          <w:u w:val="none"/>
          <w:lang w:val="en-US" w:eastAsia="zh-CN"/>
        </w:rPr>
        <w:t>巴彦淖尔国家农业高新技术产业示范区获国务院正式批复。</w:t>
      </w:r>
    </w:p>
    <w:p>
      <w:pPr>
        <w:keepNext w:val="0"/>
        <w:keepLines w:val="0"/>
        <w:pageBreakBefore w:val="0"/>
        <w:widowControl w:val="0"/>
        <w:suppressLineNumbers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color w:val="auto"/>
          <w:spacing w:val="0"/>
          <w:sz w:val="32"/>
          <w:szCs w:val="32"/>
          <w:u w:val="none"/>
          <w:lang w:val="en-US" w:eastAsia="zh-CN"/>
        </w:rPr>
      </w:pPr>
      <w:r>
        <w:rPr>
          <w:rFonts w:hint="eastAsia" w:ascii="楷体_GB2312" w:hAnsi="楷体_GB2312" w:eastAsia="楷体_GB2312" w:cs="楷体_GB2312"/>
          <w:b/>
          <w:bCs w:val="0"/>
          <w:color w:val="auto"/>
          <w:spacing w:val="0"/>
          <w:sz w:val="32"/>
          <w:szCs w:val="32"/>
          <w:highlight w:val="none"/>
          <w:u w:val="none"/>
          <w:lang w:val="en-US" w:eastAsia="zh-CN"/>
        </w:rPr>
        <w:t>这一年，我们精准发力，在加速工业振兴中</w:t>
      </w:r>
      <w:r>
        <w:rPr>
          <w:rFonts w:hint="eastAsia" w:ascii="楷体" w:hAnsi="楷体" w:eastAsia="楷体" w:cs="楷体"/>
          <w:b/>
          <w:bCs w:val="0"/>
          <w:color w:val="auto"/>
          <w:spacing w:val="0"/>
          <w:sz w:val="32"/>
          <w:szCs w:val="32"/>
          <w:highlight w:val="none"/>
          <w:u w:val="none"/>
          <w:lang w:val="en-US" w:eastAsia="zh-CN"/>
        </w:rPr>
        <w:t>蹚</w:t>
      </w:r>
      <w:r>
        <w:rPr>
          <w:rFonts w:hint="eastAsia" w:ascii="楷体_GB2312" w:hAnsi="楷体_GB2312" w:eastAsia="楷体_GB2312" w:cs="楷体_GB2312"/>
          <w:b/>
          <w:bCs w:val="0"/>
          <w:color w:val="auto"/>
          <w:spacing w:val="0"/>
          <w:sz w:val="32"/>
          <w:szCs w:val="32"/>
          <w:highlight w:val="none"/>
          <w:u w:val="none"/>
          <w:lang w:val="en-US" w:eastAsia="zh-CN"/>
        </w:rPr>
        <w:t>出了临河模式。</w:t>
      </w:r>
      <w:r>
        <w:rPr>
          <w:rFonts w:hint="eastAsia" w:ascii="仿宋_GB2312" w:hAnsi="仿宋_GB2312" w:eastAsia="仿宋_GB2312" w:cs="仿宋_GB2312"/>
          <w:color w:val="auto"/>
          <w:spacing w:val="0"/>
          <w:sz w:val="32"/>
          <w:szCs w:val="32"/>
          <w:u w:val="none"/>
          <w:lang w:val="en-US" w:eastAsia="zh-CN"/>
        </w:rPr>
        <w:t>围绕“7+4”工业产业体系，全要素跟踪服务、全周期协调推进、常态化工作调度，实施500万元以上工业项目45项，完成投资25亿元，大北农饲料加工等5个项目建成投产，联源热电、鹿辰饲料等12个项目完工在即，华北油田转运站、联合站、包银高铁等12个项目加快建设。成功引进“三一”零碳产业园、龙腾光热储能设备生产等项目，为建设新能源装备制造集聚区奠定坚实基础。全力以赴助企纾困，帮助企业申报自治区扶持资金项目21项，争取资金1825万元</w:t>
      </w:r>
      <w:r>
        <w:rPr>
          <w:rFonts w:hint="default" w:ascii="Times New Roman" w:hAnsi="Times New Roman" w:eastAsia="仿宋_GB2312" w:cs="Times New Roman"/>
          <w:color w:val="auto"/>
          <w:spacing w:val="0"/>
          <w:sz w:val="32"/>
          <w:szCs w:val="32"/>
          <w:u w:val="none"/>
          <w:lang w:val="en-US" w:eastAsia="zh-CN"/>
        </w:rPr>
        <w:t>，组织召开“政银企”对接会4次，</w:t>
      </w:r>
      <w:r>
        <w:rPr>
          <w:rFonts w:hint="eastAsia" w:ascii="仿宋_GB2312" w:hAnsi="仿宋_GB2312" w:eastAsia="仿宋_GB2312" w:cs="仿宋_GB2312"/>
          <w:color w:val="auto"/>
          <w:spacing w:val="0"/>
          <w:sz w:val="32"/>
          <w:szCs w:val="32"/>
          <w:u w:val="none"/>
          <w:lang w:val="en-US" w:eastAsia="zh-CN"/>
        </w:rPr>
        <w:t>为20家外贸企业争取到普惠贷款8亿元，被认定为自治区首批县域外经贸破零增量示范地区。新增规模以上工业企业19家，进入自治区“专精特新”中小企业名录8家、自治区科技型中小企业43家，新认定博士科研工作站3家。深入开展待批项目、闲置土地、沉淀资金、“半拉子”工程等“大起底”行动，盘活闲置资金5271.8万元，兆鑫生物发电等5个项目复工复产。</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200"/>
        <w:jc w:val="both"/>
        <w:textAlignment w:val="auto"/>
        <w:rPr>
          <w:rFonts w:hint="eastAsia" w:ascii="仿宋_GB2312" w:hAnsi="仿宋_GB2312" w:eastAsia="仿宋_GB2312" w:cs="仿宋_GB2312"/>
          <w:b w:val="0"/>
          <w:bCs/>
          <w:color w:val="auto"/>
          <w:spacing w:val="0"/>
          <w:sz w:val="32"/>
          <w:szCs w:val="32"/>
          <w:u w:val="none"/>
          <w:lang w:val="en-US" w:eastAsia="zh-CN"/>
        </w:rPr>
      </w:pPr>
      <w:r>
        <w:rPr>
          <w:rFonts w:hint="eastAsia" w:ascii="楷体_GB2312" w:hAnsi="楷体_GB2312" w:eastAsia="楷体_GB2312" w:cs="楷体_GB2312"/>
          <w:b/>
          <w:bCs w:val="0"/>
          <w:color w:val="auto"/>
          <w:spacing w:val="-4"/>
          <w:sz w:val="32"/>
          <w:szCs w:val="32"/>
          <w:highlight w:val="none"/>
          <w:u w:val="none"/>
          <w:lang w:val="en-US" w:eastAsia="zh-CN"/>
        </w:rPr>
        <w:t>这一年，我们抢抓机遇，在实施城市更新中提升了临河形象。</w:t>
      </w:r>
      <w:r>
        <w:rPr>
          <w:rFonts w:hint="eastAsia" w:ascii="仿宋_GB2312" w:hAnsi="仿宋_GB2312" w:eastAsia="仿宋_GB2312" w:cs="仿宋_GB2312"/>
          <w:b w:val="0"/>
          <w:bCs/>
          <w:color w:val="auto"/>
          <w:spacing w:val="0"/>
          <w:sz w:val="32"/>
          <w:szCs w:val="32"/>
          <w:u w:val="none"/>
          <w:lang w:val="en-US" w:eastAsia="zh-CN"/>
        </w:rPr>
        <w:t>围绕“强基础、惠民生、保稳定、优管理”工作目标，实施棚户区、老旧小区、非成套住宅改造117.09万平方米；打通陕坝路、光明街</w:t>
      </w:r>
      <w:r>
        <w:rPr>
          <w:rFonts w:hint="eastAsia" w:ascii="仿宋_GB2312" w:hAnsi="仿宋_GB2312" w:eastAsia="仿宋_GB2312" w:cs="仿宋_GB2312"/>
          <w:color w:val="auto"/>
          <w:spacing w:val="0"/>
          <w:sz w:val="32"/>
          <w:szCs w:val="32"/>
          <w:u w:val="none"/>
          <w:lang w:eastAsia="zh-CN"/>
        </w:rPr>
        <w:t>局部路段</w:t>
      </w:r>
      <w:r>
        <w:rPr>
          <w:rFonts w:hint="eastAsia" w:ascii="仿宋_GB2312" w:hAnsi="仿宋_GB2312" w:eastAsia="仿宋_GB2312" w:cs="仿宋_GB2312"/>
          <w:b w:val="0"/>
          <w:bCs/>
          <w:color w:val="auto"/>
          <w:spacing w:val="0"/>
          <w:sz w:val="32"/>
          <w:szCs w:val="32"/>
          <w:u w:val="none"/>
          <w:lang w:val="en-US" w:eastAsia="zh-CN"/>
        </w:rPr>
        <w:t>，新改建幸福路、光辉路等7条道路，G242国道与G110国道绕城线顺利联通，敷设雨水、污水、电力等各类管网65公里，北边渠河道综合治理及生态保护修复工程基本竣工，成为最吸睛的城市新景观新亮点，新建高铁站站前绿地1处、口袋公园6个、微景观10处。朗润园、中远睿城等15个房地产“三难”问题取得新进展，强力化解“回迁难”354套、“入住难”1074套、“办证难”1868套，一大批群众急难愁盼问题得到解决。</w:t>
      </w:r>
      <w:r>
        <w:rPr>
          <w:rFonts w:hint="eastAsia" w:ascii="仿宋_GB2312" w:hAnsi="仿宋_GB2312" w:eastAsia="仿宋_GB2312" w:cs="仿宋_GB2312"/>
          <w:color w:val="auto"/>
          <w:spacing w:val="0"/>
          <w:sz w:val="32"/>
          <w:szCs w:val="32"/>
          <w:u w:val="none"/>
        </w:rPr>
        <w:t>“久拆不动、拆而不净”历史遗留问题</w:t>
      </w:r>
      <w:r>
        <w:rPr>
          <w:rFonts w:hint="eastAsia" w:ascii="仿宋_GB2312" w:hAnsi="仿宋_GB2312" w:eastAsia="仿宋_GB2312" w:cs="仿宋_GB2312"/>
          <w:color w:val="auto"/>
          <w:spacing w:val="0"/>
          <w:sz w:val="32"/>
          <w:szCs w:val="32"/>
          <w:u w:val="none"/>
          <w:lang w:eastAsia="zh-CN"/>
        </w:rPr>
        <w:t>取得</w:t>
      </w:r>
      <w:r>
        <w:rPr>
          <w:rFonts w:hint="eastAsia" w:ascii="仿宋_GB2312" w:hAnsi="仿宋_GB2312" w:eastAsia="仿宋_GB2312" w:cs="仿宋_GB2312"/>
          <w:b w:val="0"/>
          <w:bCs/>
          <w:color w:val="auto"/>
          <w:spacing w:val="0"/>
          <w:sz w:val="32"/>
          <w:szCs w:val="32"/>
          <w:u w:val="none"/>
          <w:lang w:val="en-US" w:eastAsia="zh-CN"/>
        </w:rPr>
        <w:t>突破性进展</w:t>
      </w:r>
      <w:r>
        <w:rPr>
          <w:rFonts w:hint="eastAsia" w:ascii="仿宋_GB2312" w:hAnsi="仿宋_GB2312" w:eastAsia="仿宋_GB2312" w:cs="仿宋_GB2312"/>
          <w:color w:val="auto"/>
          <w:spacing w:val="0"/>
          <w:sz w:val="32"/>
          <w:szCs w:val="32"/>
          <w:u w:val="none"/>
          <w:lang w:eastAsia="zh-CN"/>
        </w:rPr>
        <w:t>，</w:t>
      </w:r>
      <w:r>
        <w:rPr>
          <w:rFonts w:hint="eastAsia" w:ascii="仿宋_GB2312" w:hAnsi="仿宋_GB2312" w:eastAsia="仿宋_GB2312" w:cs="仿宋_GB2312"/>
          <w:b w:val="0"/>
          <w:bCs/>
          <w:color w:val="auto"/>
          <w:spacing w:val="0"/>
          <w:sz w:val="32"/>
          <w:szCs w:val="32"/>
          <w:u w:val="none"/>
          <w:lang w:val="en-US" w:eastAsia="zh-CN"/>
        </w:rPr>
        <w:t>征拆主干街道尾留户121户</w:t>
      </w:r>
      <w:r>
        <w:rPr>
          <w:rFonts w:hint="eastAsia" w:ascii="仿宋_GB2312" w:hAnsi="仿宋_GB2312" w:eastAsia="仿宋_GB2312" w:cs="仿宋_GB2312"/>
          <w:color w:val="auto"/>
          <w:spacing w:val="0"/>
          <w:sz w:val="32"/>
          <w:szCs w:val="32"/>
          <w:u w:val="none"/>
          <w:lang w:eastAsia="zh-CN"/>
        </w:rPr>
        <w:t>。</w:t>
      </w:r>
      <w:r>
        <w:rPr>
          <w:rFonts w:hint="eastAsia" w:ascii="仿宋_GB2312" w:hAnsi="仿宋_GB2312" w:eastAsia="仿宋_GB2312" w:cs="仿宋_GB2312"/>
          <w:b w:val="0"/>
          <w:bCs/>
          <w:color w:val="auto"/>
          <w:spacing w:val="0"/>
          <w:sz w:val="32"/>
          <w:szCs w:val="32"/>
          <w:u w:val="none"/>
          <w:lang w:val="en-US" w:eastAsia="zh-CN"/>
        </w:rPr>
        <w:t>常态化推进“执法进小区”“门前三包”，累计解决群众关切的问题2060件，街边市场、马路摊贩全部入市经营，城区主次干道机扫率均达到95%，巷道清扫保洁实现常态化，城市精细化管理水平全面提升，重新获批“自治区文明城市”荣誉称号。</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val="0"/>
          <w:bCs/>
          <w:color w:val="auto"/>
          <w:spacing w:val="0"/>
          <w:sz w:val="32"/>
          <w:szCs w:val="32"/>
          <w:u w:val="none"/>
          <w:lang w:val="en-US" w:eastAsia="zh-CN"/>
        </w:rPr>
      </w:pPr>
      <w:r>
        <w:rPr>
          <w:rFonts w:hint="eastAsia" w:ascii="楷体_GB2312" w:hAnsi="楷体_GB2312" w:eastAsia="楷体_GB2312" w:cs="楷体_GB2312"/>
          <w:b/>
          <w:bCs w:val="0"/>
          <w:color w:val="auto"/>
          <w:spacing w:val="0"/>
          <w:sz w:val="32"/>
          <w:szCs w:val="32"/>
          <w:highlight w:val="none"/>
          <w:u w:val="none"/>
          <w:lang w:val="en-US" w:eastAsia="zh-CN"/>
        </w:rPr>
        <w:t>这一年，我们久久为功，在筑牢生态安全中做出了临河贡献。</w:t>
      </w:r>
      <w:r>
        <w:rPr>
          <w:rFonts w:hint="eastAsia" w:ascii="仿宋_GB2312" w:hAnsi="仿宋_GB2312" w:eastAsia="仿宋_GB2312" w:cs="仿宋_GB2312"/>
          <w:b w:val="0"/>
          <w:bCs/>
          <w:color w:val="auto"/>
          <w:spacing w:val="0"/>
          <w:sz w:val="32"/>
          <w:szCs w:val="32"/>
          <w:u w:val="none"/>
          <w:lang w:val="en-US" w:eastAsia="zh-CN"/>
        </w:rPr>
        <w:t>始终把生态环境保护挺在前面，坚决扛牢保护生态环境的重大责任。第一轮中央环保督察及“回头看”、自治区生态环境保护督察反馈问题全部清零；第二轮中央生态环境保护督察反馈问题整改工作按时序要求推进，督察组交办信访问题全部按时办结。蓝天保卫战成果持续巩固，大气污染防治十大专项行动深入推进，实施平房区集中供热改造2100户、“煤改电”7225户，空气质量优良率为88.2%。持续加大河湖整治、管理、保护工作力度，累计巡河湖1302次，解决问题63个，河湖长制工作由“有名有实”向“有能有效”转变，地表水断面水质稳定达标，集中式饮用水水质达标率100%。临河黄河湿地纳入自治区重要湿地名录。农业面源污染治理、深度节水控水扎实推进，农药、化肥亩均使用量保持负增长，实现农业节水603万立方米，土壤环境质量总体保持稳定。</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cs="Times New Roman"/>
          <w:color w:val="auto"/>
          <w:spacing w:val="-4"/>
          <w:sz w:val="20"/>
          <w:szCs w:val="22"/>
          <w:u w:val="none"/>
          <w:lang w:val="en-US" w:eastAsia="zh-CN"/>
        </w:rPr>
      </w:pPr>
      <w:r>
        <w:rPr>
          <w:rFonts w:hint="eastAsia" w:ascii="楷体_GB2312" w:hAnsi="楷体_GB2312" w:eastAsia="楷体_GB2312" w:cs="楷体_GB2312"/>
          <w:b/>
          <w:bCs w:val="0"/>
          <w:color w:val="auto"/>
          <w:spacing w:val="0"/>
          <w:sz w:val="32"/>
          <w:szCs w:val="32"/>
          <w:highlight w:val="none"/>
          <w:u w:val="none"/>
          <w:lang w:val="en-US" w:eastAsia="zh-CN"/>
        </w:rPr>
        <w:t>这一年，我们加大投入，在增进民生福祉中交出了临河答卷。</w:t>
      </w:r>
      <w:r>
        <w:rPr>
          <w:rFonts w:hint="eastAsia" w:ascii="仿宋_GB2312" w:hAnsi="仿宋_GB2312" w:eastAsia="仿宋_GB2312" w:cs="仿宋_GB2312"/>
          <w:b w:val="0"/>
          <w:bCs/>
          <w:color w:val="auto"/>
          <w:spacing w:val="-4"/>
          <w:sz w:val="32"/>
          <w:szCs w:val="32"/>
          <w:u w:val="none"/>
          <w:lang w:val="en-US" w:eastAsia="zh-CN"/>
        </w:rPr>
        <w:t>全年投入民生事业资金39亿元，占一般公共预算支出的71%。建成街道社区养老服务中心（站）35家，改造农村幸福互助院3个，城乡三级养老服务网络体系逐步完善。</w:t>
      </w:r>
      <w:r>
        <w:rPr>
          <w:rFonts w:hint="eastAsia" w:ascii="仿宋_GB2312" w:hAnsi="仿宋_GB2312" w:eastAsia="仿宋_GB2312" w:cs="仿宋_GB2312"/>
          <w:color w:val="auto"/>
          <w:spacing w:val="-4"/>
          <w:sz w:val="32"/>
          <w:szCs w:val="32"/>
          <w:u w:val="none"/>
          <w:lang w:val="en-US" w:eastAsia="zh-CN"/>
        </w:rPr>
        <w:t>“双减”工作成效明显，教育教学质量稳步提升，高考本科上线1480人，临河一中被清华大学授予“生源中学”荣誉称号；</w:t>
      </w:r>
      <w:r>
        <w:rPr>
          <w:rFonts w:hint="eastAsia" w:ascii="仿宋_GB2312" w:hAnsi="仿宋_GB2312" w:eastAsia="仿宋_GB2312" w:cs="仿宋_GB2312"/>
          <w:b w:val="0"/>
          <w:bCs/>
          <w:color w:val="auto"/>
          <w:spacing w:val="-4"/>
          <w:sz w:val="32"/>
          <w:szCs w:val="32"/>
          <w:u w:val="none"/>
          <w:lang w:val="en-US" w:eastAsia="zh-CN"/>
        </w:rPr>
        <w:t>新改扩建临河一中综合楼、水源路治安幼儿园、水源路学校初中部教学楼，招聘优秀教师148名。严格落实不同阶段疫情防控各项举措，有效开展新冠疫苗接种和加强免疫接种，方舱医院和核酸检测中心建成运行，区人民医院与基层医疗机构形成“十大中心+八个急救分站”的医共体联动平台，筑牢了疫情防控的钢铁防线。发放惠民消费券1000万元，拉动消费近3亿元。举办“2022年中国旅游日”“冰雪嘉年华”等群众性文体活动77场，黄河湾步行街入选全国非遗与旅游融合发展优选项目名录、被评为自治区级旅游休闲街区。营商环境持续优化，“四办”改革深入推进，“一网办”受理各类业务34.6万件，“掌上办”事项持续拓展，落地运行“一件事一次办”139项，提供“帮您办”服务事项174个。大力推广政务服务事项“智能办”“自助办”，配备政务服务智慧终端21台，旧城区新建24小时政务服务自助便民大厅。严格执行领导干部下访、接访、约访制度，妥善解决群众合理诉求，化解历史遗留案件56件。充分发挥矛盾纠纷多元化解指挥中心作用，调解各类案件7109件，调解成功率81%，开创了新时代“枫桥经验”的临河典范，金川街道获评全国依法治理创建活动先进单位，狼山镇富强村被评为全国乡村治理示范村。“北疆云·智慧公安”加快实施，刑事案件、侵财案件、盗窃案件分别下降19.6%、40%、37.3%。民族团结进步创建工作取得新成效，党的民族政策有效落实，推动铸牢中华民族共同体意识走向深入，金川街道金沙社区获评自治区民族团结进步模范集体。安全生产专项整治三年行动和“1+3+2”专项整治成效显著，食品药品安全形势总体平稳，社会大局和谐稳定。妇女儿童、残疾人权益有效保障，红十字、慈善、老龄等事业健康发展，统计、侨务、双拥、气象等工作取得新成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color w:val="auto"/>
          <w:spacing w:val="0"/>
          <w:sz w:val="32"/>
          <w:szCs w:val="32"/>
          <w:u w:val="none"/>
          <w:lang w:val="en-US" w:eastAsia="zh-CN"/>
        </w:rPr>
      </w:pPr>
      <w:r>
        <w:rPr>
          <w:rFonts w:hint="eastAsia" w:ascii="楷体_GB2312" w:hAnsi="楷体_GB2312" w:eastAsia="楷体_GB2312" w:cs="楷体_GB2312"/>
          <w:b/>
          <w:bCs w:val="0"/>
          <w:color w:val="auto"/>
          <w:spacing w:val="0"/>
          <w:sz w:val="32"/>
          <w:szCs w:val="32"/>
          <w:highlight w:val="none"/>
          <w:u w:val="none"/>
          <w:lang w:val="en-US" w:eastAsia="zh-CN"/>
        </w:rPr>
        <w:t>这一年，我们从严从实，在加强自身建设中展现了临河担当。</w:t>
      </w:r>
      <w:r>
        <w:rPr>
          <w:rFonts w:hint="eastAsia" w:ascii="仿宋_GB2312" w:hAnsi="仿宋_GB2312" w:eastAsia="仿宋_GB2312" w:cs="仿宋_GB2312"/>
          <w:color w:val="auto"/>
          <w:spacing w:val="0"/>
          <w:sz w:val="32"/>
          <w:szCs w:val="32"/>
          <w:u w:val="none"/>
          <w:lang w:val="en-US" w:eastAsia="zh-CN"/>
        </w:rPr>
        <w:t>深学笃用习近平新时代中国特色社会主义思想，严格执行“第一议题”学习制度、“第一要件”落实机制。深入推进法治政府建设，修订完善了《临河区人民政府工作规则》《临河区人民政府（党组）“三重一大”事项集体决策工作制度》等，严格执行行政机关负责人出庭应诉制度，应诉率保持在100%，有效促进政府工作制度化、规范化、法治化。自觉接受人大法律监督、工作监督和政协民主监督，办结人大代表建议和政协委员提案293件，满意率均达到96%以上。从严落实担当作为、狠抓落实“五大行动”，积极推进廉洁政府建设，下大力气解决“三多三少三慢”问题，干部队伍工作作风、精神面貌焕然一新。牢固树立“过紧日子”思想，区本级非重点、非刚性支出持续压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auto"/>
          <w:spacing w:val="0"/>
          <w:sz w:val="32"/>
          <w:szCs w:val="32"/>
          <w:highlight w:val="none"/>
          <w:u w:val="none"/>
          <w:lang w:val="en-US" w:eastAsia="zh-CN"/>
        </w:rPr>
      </w:pPr>
      <w:r>
        <w:rPr>
          <w:rFonts w:hint="eastAsia" w:ascii="仿宋_GB2312" w:hAnsi="仿宋_GB2312" w:eastAsia="仿宋_GB2312" w:cs="仿宋_GB2312"/>
          <w:b w:val="0"/>
          <w:bCs/>
          <w:color w:val="auto"/>
          <w:spacing w:val="0"/>
          <w:sz w:val="32"/>
          <w:szCs w:val="32"/>
          <w:highlight w:val="none"/>
          <w:u w:val="none"/>
          <w:lang w:val="en-US" w:eastAsia="zh-CN"/>
        </w:rPr>
        <w:t>各位代表，回顾过去的一年，历程充满艰辛，成就来之不易。这是以习近平同志为核心的党中央运筹帷幄、亲切关怀的结果，是上级党委、政府科学决策、大力支持的结果，是区委坚强领导、攻坚克难的结果，是区人大、政协和社会各界监督支持、通力协作的结果，更是广大党员干部和全区各族人民勠力同心、顽强拼搏的结果。一年来，全区上下以“功成不必在我、功成必定有我”的担当干事业，以“敢为人先、百折不挠”的精神破难题，以“抓铁有痕、踏石留印”的劲头抓落实，干出了务实争先的新风气，干出了实实在在的新业绩，干出了充满希望的新前景！特别是在这场疫情大战大考中，各级组织、各个部门履职尽责、担当作为，广大党员干部、社区（村）工作者不惧风险、冲锋在前，广大医务人员、公安干警坚守岗位、勇挑重担，广大物业工作者、志愿者日夜值守、忘我工作，冲锋在医疗救治、隔离转运、核酸检测、流调溯源、消毒消杀、社会管控的第一线，全区各族人民团结一心、同舟共济，打赢了多轮疫情防控阻击战，展现出坚韧不拔的顽强斗志和无坚不摧的强大力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auto"/>
          <w:spacing w:val="0"/>
          <w:sz w:val="32"/>
          <w:szCs w:val="32"/>
          <w:highlight w:val="none"/>
          <w:u w:val="none"/>
          <w:lang w:val="en-US" w:eastAsia="zh-CN"/>
        </w:rPr>
      </w:pPr>
      <w:r>
        <w:rPr>
          <w:rFonts w:hint="eastAsia" w:ascii="仿宋_GB2312" w:hAnsi="仿宋_GB2312" w:eastAsia="仿宋_GB2312" w:cs="仿宋_GB2312"/>
          <w:b w:val="0"/>
          <w:bCs/>
          <w:color w:val="auto"/>
          <w:spacing w:val="0"/>
          <w:sz w:val="32"/>
          <w:szCs w:val="32"/>
          <w:highlight w:val="none"/>
          <w:u w:val="none"/>
          <w:lang w:val="en-US" w:eastAsia="zh-CN"/>
        </w:rPr>
        <w:t>在此，我代表区人民政府，向全区各族人民，向各位人大代表、政协委员，向各民主党派、无党派人士，向人民团体和社会各界人士表示衷心的感谢！向所有关心、支持临河区经济社会高质量发展的朋友们表示诚挚的敬意！</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color w:val="auto"/>
          <w:spacing w:val="0"/>
          <w:sz w:val="32"/>
          <w:szCs w:val="32"/>
          <w:highlight w:val="none"/>
          <w:u w:val="none"/>
          <w:lang w:val="en-US" w:eastAsia="zh-CN"/>
        </w:rPr>
      </w:pPr>
      <w:r>
        <w:rPr>
          <w:rFonts w:hint="eastAsia" w:ascii="仿宋_GB2312" w:hAnsi="仿宋_GB2312" w:eastAsia="仿宋_GB2312" w:cs="仿宋_GB2312"/>
          <w:b w:val="0"/>
          <w:bCs/>
          <w:color w:val="auto"/>
          <w:spacing w:val="0"/>
          <w:sz w:val="32"/>
          <w:szCs w:val="32"/>
          <w:highlight w:val="none"/>
          <w:u w:val="none"/>
          <w:lang w:val="en-US" w:eastAsia="zh-CN"/>
        </w:rPr>
        <w:t>各位代表，思危方能居安，知忧才能克难。我们在总结成绩的同时，也清醒地看到工作中还存在一些问题，主要是：农副产品优质不优价，大部分处在产业链、价值链低端；工业经济体量小，创新发展能力不强，项目储备、项目结构、项目规模对经济增长的支撑力不足；财政收支矛盾突出，教育、医疗、卫生、就业、养老等公共服务与人民对美好生活新期待还有差距；少数干部思想保守、作风不实，工作满足于一般化，缺少精准精细、精致精到的认真精神等等。对这些问题，我们正在采取一系列有力措施全力加快解决，决不辜负全区人民的期待。</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76" w:lineRule="exact"/>
        <w:jc w:val="center"/>
        <w:textAlignment w:val="auto"/>
        <w:rPr>
          <w:rFonts w:hint="default" w:ascii="Times New Roman" w:hAnsi="Times New Roman" w:eastAsia="黑体" w:cs="Times New Roman"/>
          <w:color w:val="auto"/>
          <w:spacing w:val="0"/>
          <w:sz w:val="32"/>
          <w:szCs w:val="32"/>
          <w:highlight w:val="none"/>
          <w:u w:val="none"/>
          <w:lang w:val="en-US" w:eastAsia="zh-CN"/>
        </w:rPr>
      </w:pPr>
      <w:r>
        <w:rPr>
          <w:rFonts w:hint="default" w:ascii="Times New Roman" w:hAnsi="Times New Roman" w:eastAsia="黑体" w:cs="Times New Roman"/>
          <w:color w:val="auto"/>
          <w:spacing w:val="0"/>
          <w:sz w:val="32"/>
          <w:szCs w:val="32"/>
          <w:highlight w:val="none"/>
          <w:u w:val="none"/>
          <w:lang w:val="en-US" w:eastAsia="zh-CN"/>
        </w:rPr>
        <w:t>二、2023年工作安排</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auto"/>
          <w:spacing w:val="0"/>
          <w:sz w:val="32"/>
          <w:szCs w:val="32"/>
          <w:highlight w:val="none"/>
          <w:u w:val="none"/>
          <w:lang w:val="en-US" w:eastAsia="zh-CN"/>
        </w:rPr>
      </w:pPr>
      <w:r>
        <w:rPr>
          <w:rFonts w:hint="eastAsia" w:ascii="仿宋_GB2312" w:hAnsi="仿宋_GB2312" w:eastAsia="仿宋_GB2312" w:cs="仿宋_GB2312"/>
          <w:b w:val="0"/>
          <w:bCs/>
          <w:color w:val="auto"/>
          <w:spacing w:val="0"/>
          <w:sz w:val="32"/>
          <w:szCs w:val="32"/>
          <w:highlight w:val="none"/>
          <w:u w:val="none"/>
          <w:lang w:val="en-US" w:eastAsia="zh-CN"/>
        </w:rPr>
        <w:t>2023年是贯彻落实党的二十大精神的开局之年，也是实施“十四五”规划承上启下的关键一年，做好全年工作意义重大。我们将不忘初心、牢记使命，谦虚谨慎、艰苦奋斗，敢于斗争、善于斗争，按照区委十四届三次全会暨全区经济工作会议提出的工作思路和重点任务，不负今时、不误今事、只争今朝，全面开创各项事业新局面。</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黑体" w:cs="Times New Roman"/>
          <w:color w:val="auto"/>
          <w:spacing w:val="0"/>
          <w:sz w:val="32"/>
          <w:szCs w:val="32"/>
          <w:highlight w:val="none"/>
          <w:u w:val="none"/>
          <w:lang w:val="en-US" w:eastAsia="zh-CN"/>
        </w:rPr>
      </w:pPr>
      <w:r>
        <w:rPr>
          <w:rFonts w:hint="eastAsia" w:ascii="仿宋_GB2312" w:hAnsi="仿宋_GB2312" w:eastAsia="仿宋_GB2312" w:cs="仿宋_GB2312"/>
          <w:b/>
          <w:bCs/>
          <w:color w:val="auto"/>
          <w:spacing w:val="0"/>
          <w:sz w:val="32"/>
          <w:szCs w:val="32"/>
          <w:highlight w:val="none"/>
          <w:u w:val="none"/>
        </w:rPr>
        <w:t>政府工作的总体</w:t>
      </w:r>
      <w:r>
        <w:rPr>
          <w:rFonts w:hint="eastAsia" w:ascii="仿宋_GB2312" w:hAnsi="仿宋_GB2312" w:eastAsia="仿宋_GB2312" w:cs="仿宋_GB2312"/>
          <w:b/>
          <w:bCs/>
          <w:color w:val="auto"/>
          <w:spacing w:val="0"/>
          <w:sz w:val="32"/>
          <w:szCs w:val="32"/>
          <w:highlight w:val="none"/>
          <w:u w:val="none"/>
          <w:lang w:eastAsia="zh-CN"/>
        </w:rPr>
        <w:t>要求</w:t>
      </w:r>
      <w:r>
        <w:rPr>
          <w:rFonts w:hint="eastAsia" w:ascii="仿宋_GB2312" w:hAnsi="仿宋_GB2312" w:eastAsia="仿宋_GB2312" w:cs="仿宋_GB2312"/>
          <w:b/>
          <w:bCs/>
          <w:color w:val="auto"/>
          <w:spacing w:val="0"/>
          <w:sz w:val="32"/>
          <w:szCs w:val="32"/>
          <w:highlight w:val="none"/>
          <w:u w:val="none"/>
        </w:rPr>
        <w:t>是：</w:t>
      </w:r>
      <w:r>
        <w:rPr>
          <w:rFonts w:hint="default" w:ascii="Times New Roman" w:hAnsi="Times New Roman" w:eastAsia="黑体" w:cs="Times New Roman"/>
          <w:color w:val="auto"/>
          <w:spacing w:val="0"/>
          <w:sz w:val="32"/>
          <w:szCs w:val="32"/>
          <w:highlight w:val="none"/>
          <w:u w:val="none"/>
        </w:rPr>
        <w:t>坚持以习近平新时代中国特色社会主义思想为指导，全面贯彻党的二十大精神，紧扣习近平总书记交给内蒙古的“五大任务”，完整准确全面贯彻新发展理念，在稳中求进基础上快进优进，以高质量经济发展为中心、高水平生态保护为前提、高品质人民生活为根本、高效能社会治理为依托、高标准党建为保障，</w:t>
      </w:r>
      <w:r>
        <w:rPr>
          <w:rFonts w:hint="default" w:ascii="Times New Roman" w:hAnsi="Times New Roman" w:eastAsia="黑体" w:cs="Times New Roman"/>
          <w:color w:val="auto"/>
          <w:spacing w:val="0"/>
          <w:sz w:val="32"/>
          <w:szCs w:val="32"/>
          <w:highlight w:val="none"/>
          <w:u w:val="none"/>
          <w:lang w:val="en-US" w:eastAsia="zh-CN"/>
        </w:rPr>
        <w:t>围绕市委</w:t>
      </w:r>
      <w:r>
        <w:rPr>
          <w:rFonts w:hint="eastAsia" w:ascii="Times New Roman" w:hAnsi="Times New Roman" w:eastAsia="黑体" w:cs="Times New Roman"/>
          <w:color w:val="auto"/>
          <w:spacing w:val="0"/>
          <w:sz w:val="32"/>
          <w:szCs w:val="32"/>
          <w:highlight w:val="none"/>
          <w:u w:val="none"/>
          <w:lang w:val="en-US" w:eastAsia="zh-CN"/>
        </w:rPr>
        <w:t>建设</w:t>
      </w:r>
      <w:r>
        <w:rPr>
          <w:rFonts w:hint="default" w:ascii="Times New Roman" w:hAnsi="Times New Roman" w:eastAsia="黑体" w:cs="Times New Roman"/>
          <w:color w:val="auto"/>
          <w:spacing w:val="0"/>
          <w:sz w:val="32"/>
          <w:szCs w:val="32"/>
          <w:highlight w:val="none"/>
          <w:u w:val="none"/>
        </w:rPr>
        <w:t>“四个区”</w:t>
      </w:r>
      <w:r>
        <w:rPr>
          <w:rFonts w:hint="eastAsia" w:ascii="Times New Roman" w:hAnsi="Times New Roman" w:eastAsia="黑体" w:cs="Times New Roman"/>
          <w:color w:val="auto"/>
          <w:spacing w:val="0"/>
          <w:sz w:val="32"/>
          <w:szCs w:val="32"/>
          <w:highlight w:val="none"/>
          <w:u w:val="none"/>
          <w:lang w:val="en-US" w:eastAsia="zh-CN"/>
        </w:rPr>
        <w:t>发展定位</w:t>
      </w:r>
      <w:r>
        <w:rPr>
          <w:rFonts w:hint="default" w:ascii="Times New Roman" w:hAnsi="Times New Roman" w:eastAsia="黑体" w:cs="Times New Roman"/>
          <w:color w:val="auto"/>
          <w:spacing w:val="0"/>
          <w:sz w:val="32"/>
          <w:szCs w:val="32"/>
          <w:highlight w:val="none"/>
          <w:u w:val="none"/>
        </w:rPr>
        <w:t>、“两个基地、四个集群”</w:t>
      </w:r>
      <w:r>
        <w:rPr>
          <w:rFonts w:hint="eastAsia" w:ascii="Times New Roman" w:hAnsi="Times New Roman" w:eastAsia="黑体" w:cs="Times New Roman"/>
          <w:color w:val="auto"/>
          <w:spacing w:val="0"/>
          <w:sz w:val="32"/>
          <w:szCs w:val="32"/>
          <w:highlight w:val="none"/>
          <w:u w:val="none"/>
          <w:lang w:val="en-US" w:eastAsia="zh-CN"/>
        </w:rPr>
        <w:t>主攻方向</w:t>
      </w:r>
      <w:r>
        <w:rPr>
          <w:rFonts w:hint="default" w:ascii="Times New Roman" w:hAnsi="Times New Roman" w:eastAsia="黑体" w:cs="Times New Roman"/>
          <w:color w:val="auto"/>
          <w:spacing w:val="0"/>
          <w:sz w:val="32"/>
          <w:szCs w:val="32"/>
          <w:highlight w:val="none"/>
          <w:u w:val="none"/>
        </w:rPr>
        <w:t>，深入推进乡村振兴、工业振兴、城市</w:t>
      </w:r>
      <w:r>
        <w:rPr>
          <w:rFonts w:hint="default" w:ascii="Times New Roman" w:hAnsi="Times New Roman" w:eastAsia="黑体" w:cs="Times New Roman"/>
          <w:color w:val="auto"/>
          <w:spacing w:val="0"/>
          <w:sz w:val="32"/>
          <w:szCs w:val="32"/>
          <w:highlight w:val="none"/>
          <w:u w:val="none"/>
          <w:lang w:val="en-US" w:eastAsia="zh-CN"/>
        </w:rPr>
        <w:t>更新</w:t>
      </w:r>
      <w:r>
        <w:rPr>
          <w:rFonts w:hint="default" w:ascii="Times New Roman" w:hAnsi="Times New Roman" w:eastAsia="黑体" w:cs="Times New Roman"/>
          <w:color w:val="auto"/>
          <w:spacing w:val="0"/>
          <w:sz w:val="32"/>
          <w:szCs w:val="32"/>
          <w:highlight w:val="none"/>
          <w:u w:val="none"/>
        </w:rPr>
        <w:t>，全力践行担当作为、狠抓落实“五大行动”</w:t>
      </w:r>
      <w:r>
        <w:rPr>
          <w:rFonts w:hint="default" w:ascii="Times New Roman" w:hAnsi="Times New Roman" w:eastAsia="黑体" w:cs="Times New Roman"/>
          <w:color w:val="auto"/>
          <w:spacing w:val="0"/>
          <w:sz w:val="32"/>
          <w:szCs w:val="32"/>
          <w:highlight w:val="none"/>
          <w:u w:val="none"/>
          <w:lang w:eastAsia="zh-CN"/>
        </w:rPr>
        <w:t>，</w:t>
      </w:r>
      <w:r>
        <w:rPr>
          <w:rFonts w:hint="default" w:ascii="Times New Roman" w:hAnsi="Times New Roman" w:eastAsia="黑体" w:cs="Times New Roman"/>
          <w:color w:val="auto"/>
          <w:spacing w:val="0"/>
          <w:sz w:val="32"/>
          <w:szCs w:val="32"/>
          <w:highlight w:val="none"/>
          <w:u w:val="none"/>
        </w:rPr>
        <w:t>推动经济实现质的有效提升和量的合理增长，</w:t>
      </w:r>
      <w:r>
        <w:rPr>
          <w:rFonts w:hint="default" w:ascii="Times New Roman" w:hAnsi="Times New Roman" w:eastAsia="黑体" w:cs="Times New Roman"/>
          <w:color w:val="auto"/>
          <w:spacing w:val="0"/>
          <w:sz w:val="32"/>
          <w:szCs w:val="32"/>
          <w:highlight w:val="none"/>
          <w:u w:val="none"/>
          <w:lang w:val="en-US" w:eastAsia="zh-CN"/>
        </w:rPr>
        <w:t>为</w:t>
      </w:r>
      <w:r>
        <w:rPr>
          <w:rFonts w:hint="default" w:ascii="Times New Roman" w:hAnsi="Times New Roman" w:eastAsia="黑体" w:cs="Times New Roman"/>
          <w:color w:val="auto"/>
          <w:spacing w:val="0"/>
          <w:sz w:val="32"/>
          <w:szCs w:val="32"/>
          <w:highlight w:val="none"/>
          <w:u w:val="none"/>
        </w:rPr>
        <w:t>巴彦淖尔现代化建设</w:t>
      </w:r>
      <w:r>
        <w:rPr>
          <w:rFonts w:hint="default" w:ascii="Times New Roman" w:hAnsi="Times New Roman" w:eastAsia="黑体" w:cs="Times New Roman"/>
          <w:color w:val="auto"/>
          <w:spacing w:val="0"/>
          <w:sz w:val="32"/>
          <w:szCs w:val="32"/>
          <w:highlight w:val="none"/>
          <w:u w:val="none"/>
          <w:lang w:val="en-US" w:eastAsia="zh-CN"/>
        </w:rPr>
        <w:t>贡献力量</w:t>
      </w:r>
      <w:r>
        <w:rPr>
          <w:rFonts w:hint="default" w:ascii="Times New Roman" w:hAnsi="Times New Roman" w:eastAsia="黑体" w:cs="Times New Roman"/>
          <w:color w:val="auto"/>
          <w:spacing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val="0"/>
          <w:bCs/>
          <w:color w:val="auto"/>
          <w:spacing w:val="0"/>
          <w:sz w:val="32"/>
          <w:szCs w:val="32"/>
          <w:highlight w:val="none"/>
          <w:u w:val="none"/>
          <w:lang w:val="en-US" w:eastAsia="zh-CN"/>
        </w:rPr>
      </w:pPr>
      <w:r>
        <w:rPr>
          <w:rFonts w:hint="eastAsia" w:ascii="楷体_GB2312" w:hAnsi="楷体_GB2312" w:eastAsia="楷体_GB2312" w:cs="楷体_GB2312"/>
          <w:b/>
          <w:bCs w:val="0"/>
          <w:color w:val="auto"/>
          <w:spacing w:val="0"/>
          <w:sz w:val="32"/>
          <w:szCs w:val="32"/>
          <w:highlight w:val="none"/>
          <w:u w:val="none"/>
          <w:lang w:val="en-US" w:eastAsia="zh-CN"/>
        </w:rPr>
        <w:t>主要预期目标是：</w:t>
      </w:r>
      <w:r>
        <w:rPr>
          <w:rFonts w:hint="eastAsia" w:ascii="仿宋_GB2312" w:hAnsi="仿宋_GB2312" w:eastAsia="仿宋_GB2312" w:cs="仿宋_GB2312"/>
          <w:b w:val="0"/>
          <w:bCs/>
          <w:color w:val="auto"/>
          <w:spacing w:val="0"/>
          <w:sz w:val="32"/>
          <w:szCs w:val="32"/>
          <w:highlight w:val="none"/>
          <w:u w:val="none"/>
          <w:lang w:val="en-US" w:eastAsia="zh-CN"/>
        </w:rPr>
        <w:t>地区生产总值增长6%左右，其他主要经济指标增速均高于全市平均水平，单位地区生产总值能耗有效降低，生态环境质量显著提高。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auto"/>
          <w:spacing w:val="0"/>
          <w:sz w:val="32"/>
          <w:szCs w:val="32"/>
          <w:highlight w:val="none"/>
          <w:u w:val="none"/>
          <w:lang w:val="en-US" w:eastAsia="zh-CN"/>
        </w:rPr>
      </w:pPr>
      <w:r>
        <w:rPr>
          <w:rFonts w:hint="eastAsia" w:ascii="仿宋_GB2312" w:hAnsi="仿宋_GB2312" w:eastAsia="仿宋_GB2312" w:cs="仿宋_GB2312"/>
          <w:b w:val="0"/>
          <w:bCs/>
          <w:color w:val="auto"/>
          <w:spacing w:val="0"/>
          <w:sz w:val="32"/>
          <w:szCs w:val="32"/>
          <w:highlight w:val="none"/>
          <w:u w:val="none"/>
          <w:lang w:val="en-US" w:eastAsia="zh-CN"/>
        </w:rPr>
        <w:t>围绕上述目标，我们将以“干就干成一流、做就做到极致”的精神，着力抓好七个方面工作：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val="0"/>
          <w:bCs/>
          <w:color w:val="auto"/>
          <w:spacing w:val="0"/>
          <w:sz w:val="32"/>
          <w:szCs w:val="32"/>
          <w:highlight w:val="none"/>
          <w:u w:val="none"/>
          <w:lang w:val="en-US" w:eastAsia="zh-CN"/>
        </w:rPr>
      </w:pPr>
      <w:r>
        <w:rPr>
          <w:rFonts w:hint="default" w:ascii="Times New Roman" w:hAnsi="Times New Roman" w:eastAsia="楷体_GB2312" w:cs="Times New Roman"/>
          <w:b/>
          <w:bCs/>
          <w:color w:val="auto"/>
          <w:spacing w:val="0"/>
          <w:sz w:val="32"/>
          <w:szCs w:val="32"/>
          <w:u w:val="none"/>
          <w:lang w:val="en-US" w:eastAsia="zh-CN"/>
        </w:rPr>
        <w:t>（一）全面推进乡村振兴，提升农业农村现代化水平。</w:t>
      </w:r>
      <w:r>
        <w:rPr>
          <w:rFonts w:hint="eastAsia" w:ascii="仿宋_GB2312" w:hAnsi="仿宋_GB2312" w:eastAsia="仿宋_GB2312" w:cs="仿宋_GB2312"/>
          <w:b w:val="0"/>
          <w:bCs/>
          <w:color w:val="auto"/>
          <w:spacing w:val="0"/>
          <w:sz w:val="32"/>
          <w:szCs w:val="32"/>
          <w:highlight w:val="none"/>
          <w:u w:val="none"/>
          <w:lang w:val="en-US" w:eastAsia="zh-CN"/>
        </w:rPr>
        <w:t>坚持农业农村优先发展，将“早干、实干、创新干、竞争干”要求贯穿乡村振兴“十大重点工程”始终，以干在实处推动走在前列，实现乡村由表及里、形神兼备的全面提升，切实担当起“乡村振兴、全年精彩”的责任使命。</w:t>
      </w:r>
      <w:r>
        <w:rPr>
          <w:rFonts w:hint="eastAsia" w:ascii="仿宋_GB2312" w:hAnsi="仿宋_GB2312" w:eastAsia="仿宋_GB2312" w:cs="仿宋_GB2312"/>
          <w:b/>
          <w:bCs w:val="0"/>
          <w:color w:val="auto"/>
          <w:spacing w:val="0"/>
          <w:sz w:val="32"/>
          <w:szCs w:val="32"/>
          <w:highlight w:val="none"/>
          <w:u w:val="none"/>
          <w:lang w:val="en-US" w:eastAsia="zh-CN"/>
        </w:rPr>
        <w:t>实施粮食安全工程。</w:t>
      </w:r>
      <w:r>
        <w:rPr>
          <w:rFonts w:hint="eastAsia" w:ascii="仿宋_GB2312" w:hAnsi="仿宋_GB2312" w:eastAsia="仿宋_GB2312" w:cs="仿宋_GB2312"/>
          <w:b w:val="0"/>
          <w:bCs/>
          <w:color w:val="auto"/>
          <w:spacing w:val="0"/>
          <w:sz w:val="32"/>
          <w:szCs w:val="32"/>
          <w:highlight w:val="none"/>
          <w:u w:val="none"/>
          <w:lang w:val="en-US" w:eastAsia="zh-CN"/>
        </w:rPr>
        <w:t>深入贯彻“藏粮于地、藏粮于技”战略，整合各类项目资金，继续加大补贴力度，种植小麦20万亩以上，确保全区粮食总产量达到13.5亿斤。</w:t>
      </w:r>
      <w:r>
        <w:rPr>
          <w:rFonts w:hint="eastAsia" w:ascii="仿宋_GB2312" w:hAnsi="仿宋_GB2312" w:eastAsia="仿宋_GB2312" w:cs="仿宋_GB2312"/>
          <w:b/>
          <w:bCs w:val="0"/>
          <w:color w:val="auto"/>
          <w:spacing w:val="0"/>
          <w:sz w:val="32"/>
          <w:szCs w:val="32"/>
          <w:highlight w:val="none"/>
          <w:u w:val="none"/>
          <w:lang w:val="en-US" w:eastAsia="zh-CN"/>
        </w:rPr>
        <w:t>实施高标准农田建设工程。</w:t>
      </w:r>
      <w:r>
        <w:rPr>
          <w:rFonts w:hint="eastAsia" w:ascii="仿宋_GB2312" w:hAnsi="仿宋_GB2312" w:eastAsia="仿宋_GB2312" w:cs="仿宋_GB2312"/>
          <w:b w:val="0"/>
          <w:bCs/>
          <w:color w:val="auto"/>
          <w:spacing w:val="0"/>
          <w:sz w:val="32"/>
          <w:szCs w:val="32"/>
          <w:highlight w:val="none"/>
          <w:u w:val="none"/>
          <w:lang w:val="en-US" w:eastAsia="zh-CN"/>
        </w:rPr>
        <w:t>进一步加大统筹规划、整体推进、规范管理力度，高标准新建2万亩，提质更新16万亩，新增耕地2%左右，提升耕地质量1—2个等级，实现“小田变大田”，推动“低产变丰产”。</w:t>
      </w:r>
      <w:r>
        <w:rPr>
          <w:rFonts w:hint="eastAsia" w:ascii="仿宋_GB2312" w:hAnsi="仿宋_GB2312" w:eastAsia="仿宋_GB2312" w:cs="仿宋_GB2312"/>
          <w:b/>
          <w:bCs w:val="0"/>
          <w:color w:val="auto"/>
          <w:spacing w:val="0"/>
          <w:sz w:val="32"/>
          <w:szCs w:val="32"/>
          <w:highlight w:val="none"/>
          <w:u w:val="none"/>
          <w:lang w:val="en-US" w:eastAsia="zh-CN"/>
        </w:rPr>
        <w:t>实施农田水利改造工程。</w:t>
      </w:r>
      <w:r>
        <w:rPr>
          <w:rFonts w:hint="eastAsia" w:ascii="仿宋_GB2312" w:hAnsi="仿宋_GB2312" w:eastAsia="仿宋_GB2312" w:cs="仿宋_GB2312"/>
          <w:b w:val="0"/>
          <w:bCs/>
          <w:color w:val="auto"/>
          <w:spacing w:val="0"/>
          <w:sz w:val="32"/>
          <w:szCs w:val="32"/>
          <w:highlight w:val="none"/>
          <w:u w:val="none"/>
          <w:lang w:val="en-US" w:eastAsia="zh-CN"/>
        </w:rPr>
        <w:t>坚持“四水四定”原则，实施“十四五”河套灌区续建配套与现代化改造项目，衬砌支渠28.8公里，配套改造建筑物130座；完成黄河临河段险工治理3公里、引黄滴灌水肥一体化示范面积4.5万亩，推进水资源节约集约利用。</w:t>
      </w:r>
      <w:r>
        <w:rPr>
          <w:rFonts w:hint="eastAsia" w:ascii="仿宋_GB2312" w:hAnsi="仿宋_GB2312" w:eastAsia="仿宋_GB2312" w:cs="仿宋_GB2312"/>
          <w:b/>
          <w:bCs w:val="0"/>
          <w:color w:val="auto"/>
          <w:spacing w:val="0"/>
          <w:sz w:val="32"/>
          <w:szCs w:val="32"/>
          <w:highlight w:val="none"/>
          <w:u w:val="none"/>
          <w:lang w:val="en-US" w:eastAsia="zh-CN"/>
        </w:rPr>
        <w:t>实施养殖富民工程。</w:t>
      </w:r>
      <w:r>
        <w:rPr>
          <w:rFonts w:hint="eastAsia" w:ascii="仿宋_GB2312" w:hAnsi="仿宋_GB2312" w:eastAsia="仿宋_GB2312" w:cs="仿宋_GB2312"/>
          <w:b w:val="0"/>
          <w:bCs/>
          <w:color w:val="auto"/>
          <w:spacing w:val="0"/>
          <w:sz w:val="32"/>
          <w:szCs w:val="32"/>
          <w:highlight w:val="none"/>
          <w:u w:val="none"/>
          <w:lang w:val="en-US" w:eastAsia="zh-CN"/>
        </w:rPr>
        <w:t>认真落实奶业振兴相关政策，加快奶业振兴各类园区建设，奶牛、肉牛饲养量分别达到3万头、3.5万头以上。新建规模肉羊养殖场20个，新增优质基础母羊20万只，肉羊饲养量稳定在600万只左右。加快华蒙多羔肉羊种群繁育，建强富川肉羊养殖园区，延伸产业链条，真正打响“中国羊都”金字招牌。</w:t>
      </w:r>
      <w:r>
        <w:rPr>
          <w:rFonts w:hint="eastAsia" w:ascii="仿宋_GB2312" w:hAnsi="仿宋_GB2312" w:eastAsia="仿宋_GB2312" w:cs="仿宋_GB2312"/>
          <w:b/>
          <w:bCs w:val="0"/>
          <w:color w:val="auto"/>
          <w:spacing w:val="0"/>
          <w:sz w:val="32"/>
          <w:szCs w:val="32"/>
          <w:highlight w:val="none"/>
          <w:u w:val="none"/>
          <w:lang w:val="en-US" w:eastAsia="zh-CN"/>
        </w:rPr>
        <w:t>实施农业特色产业培育工程。</w:t>
      </w:r>
      <w:r>
        <w:rPr>
          <w:rFonts w:hint="eastAsia" w:ascii="仿宋_GB2312" w:hAnsi="仿宋_GB2312" w:eastAsia="仿宋_GB2312" w:cs="仿宋_GB2312"/>
          <w:b w:val="0"/>
          <w:bCs/>
          <w:color w:val="auto"/>
          <w:spacing w:val="0"/>
          <w:sz w:val="32"/>
          <w:szCs w:val="32"/>
          <w:highlight w:val="none"/>
          <w:u w:val="none"/>
          <w:lang w:val="en-US" w:eastAsia="zh-CN"/>
        </w:rPr>
        <w:t>鼓励各类新型农业经营主体大力发展高效设施农业，新改扩建设施农牧业园区、规模化养殖场14个，培育发展甜玉米、辣椒等特色产业，种植订单辣椒10万亩以上，把更多特色资源转化为优势产业。</w:t>
      </w:r>
      <w:r>
        <w:rPr>
          <w:rFonts w:hint="eastAsia" w:ascii="仿宋_GB2312" w:hAnsi="仿宋_GB2312" w:eastAsia="仿宋_GB2312" w:cs="仿宋_GB2312"/>
          <w:b/>
          <w:bCs w:val="0"/>
          <w:color w:val="auto"/>
          <w:spacing w:val="0"/>
          <w:sz w:val="32"/>
          <w:szCs w:val="32"/>
          <w:highlight w:val="none"/>
          <w:u w:val="none"/>
          <w:lang w:val="en-US" w:eastAsia="zh-CN"/>
        </w:rPr>
        <w:t>实施数字农业创新工程。</w:t>
      </w:r>
      <w:r>
        <w:rPr>
          <w:rFonts w:hint="eastAsia" w:ascii="仿宋_GB2312" w:hAnsi="仿宋_GB2312" w:eastAsia="仿宋_GB2312" w:cs="仿宋_GB2312"/>
          <w:b w:val="0"/>
          <w:bCs/>
          <w:color w:val="auto"/>
          <w:spacing w:val="0"/>
          <w:sz w:val="32"/>
          <w:szCs w:val="32"/>
          <w:highlight w:val="none"/>
          <w:u w:val="none"/>
          <w:lang w:val="en-US" w:eastAsia="zh-CN"/>
        </w:rPr>
        <w:t>加快数字农业建设，深入推进数字农业试点示范工作，建设市、区两级“六新”科技园区20个以上。大力推广瘤胃胶囊，形成一套可监管、可追溯、可对比、全生命周期监测数据系统，提速建设数字畜牧业全产业链技术输出基地。</w:t>
      </w:r>
      <w:r>
        <w:rPr>
          <w:rFonts w:hint="eastAsia" w:ascii="仿宋_GB2312" w:hAnsi="仿宋_GB2312" w:eastAsia="仿宋_GB2312" w:cs="仿宋_GB2312"/>
          <w:b/>
          <w:bCs w:val="0"/>
          <w:color w:val="auto"/>
          <w:spacing w:val="0"/>
          <w:sz w:val="32"/>
          <w:szCs w:val="32"/>
          <w:highlight w:val="none"/>
          <w:u w:val="none"/>
          <w:lang w:val="en-US" w:eastAsia="zh-CN"/>
        </w:rPr>
        <w:t>实施农业园区建设工程。</w:t>
      </w:r>
      <w:r>
        <w:rPr>
          <w:rFonts w:hint="eastAsia" w:ascii="仿宋_GB2312" w:hAnsi="仿宋_GB2312" w:eastAsia="仿宋_GB2312" w:cs="仿宋_GB2312"/>
          <w:b w:val="0"/>
          <w:bCs/>
          <w:color w:val="auto"/>
          <w:spacing w:val="0"/>
          <w:sz w:val="32"/>
          <w:szCs w:val="32"/>
          <w:highlight w:val="none"/>
          <w:u w:val="none"/>
          <w:lang w:val="en-US" w:eastAsia="zh-CN"/>
        </w:rPr>
        <w:t>优化国家农高区空间规划，精准高效推进万亩设施农业、万亩硬质小麦等十大科技成果示范园区建设；依托中国农业大学、中国农业科学院等科研院校，进一步加强硬质小麦、肉羊、向日葵等技术创新中心建设，通过园区示范引领，将临河建成集聚农、高、科三要素，具有国家影响力的“三区三高地”。</w:t>
      </w:r>
      <w:r>
        <w:rPr>
          <w:rFonts w:hint="eastAsia" w:ascii="仿宋_GB2312" w:hAnsi="仿宋_GB2312" w:eastAsia="仿宋_GB2312" w:cs="仿宋_GB2312"/>
          <w:b/>
          <w:bCs w:val="0"/>
          <w:color w:val="auto"/>
          <w:spacing w:val="0"/>
          <w:sz w:val="32"/>
          <w:szCs w:val="32"/>
          <w:highlight w:val="none"/>
          <w:u w:val="none"/>
          <w:lang w:val="en-US" w:eastAsia="zh-CN"/>
        </w:rPr>
        <w:t>实施乡村人才回归工程。</w:t>
      </w:r>
      <w:r>
        <w:rPr>
          <w:rFonts w:hint="eastAsia" w:ascii="仿宋_GB2312" w:hAnsi="仿宋_GB2312" w:eastAsia="仿宋_GB2312" w:cs="仿宋_GB2312"/>
          <w:b w:val="0"/>
          <w:bCs/>
          <w:color w:val="auto"/>
          <w:spacing w:val="0"/>
          <w:sz w:val="32"/>
          <w:szCs w:val="32"/>
          <w:highlight w:val="none"/>
          <w:u w:val="none"/>
          <w:lang w:val="en-US" w:eastAsia="zh-CN"/>
        </w:rPr>
        <w:t>坚持本土培养和外部引进相结合，选派100名农技专家直接服务农业生产一线，实施100名乡土人才、100名电商人才培育计划，回引一批优秀人才，培育扶持市级以上农民专业合作社18家，建设农产品产地冷藏保鲜设施30个，村集体经济年收入全部达到10万元以上，为乡村振兴注入“源头活水”。</w:t>
      </w:r>
      <w:r>
        <w:rPr>
          <w:rFonts w:hint="eastAsia" w:ascii="仿宋_GB2312" w:hAnsi="仿宋_GB2312" w:eastAsia="仿宋_GB2312" w:cs="仿宋_GB2312"/>
          <w:b/>
          <w:bCs w:val="0"/>
          <w:color w:val="auto"/>
          <w:spacing w:val="0"/>
          <w:sz w:val="32"/>
          <w:szCs w:val="32"/>
          <w:highlight w:val="none"/>
          <w:u w:val="none"/>
          <w:lang w:val="en-US" w:eastAsia="zh-CN"/>
        </w:rPr>
        <w:t>实施农村道路畅通工程。</w:t>
      </w:r>
      <w:r>
        <w:rPr>
          <w:rFonts w:hint="eastAsia" w:ascii="仿宋_GB2312" w:hAnsi="仿宋_GB2312" w:eastAsia="仿宋_GB2312" w:cs="仿宋_GB2312"/>
          <w:b w:val="0"/>
          <w:bCs/>
          <w:color w:val="auto"/>
          <w:spacing w:val="0"/>
          <w:sz w:val="32"/>
          <w:szCs w:val="32"/>
          <w:highlight w:val="none"/>
          <w:u w:val="none"/>
          <w:lang w:val="en-US" w:eastAsia="zh-CN"/>
        </w:rPr>
        <w:t>新改扩建农村公路235.4公里，改造危桥42座，完成安防工程50公里，坚持农业园区、旅游景区、工业园区建在哪里，公路就修在哪里的理念，加强乡村产业路、旅游路、资源路建设，构建农村交通网络新格局。</w:t>
      </w:r>
      <w:r>
        <w:rPr>
          <w:rFonts w:hint="eastAsia" w:ascii="仿宋_GB2312" w:hAnsi="仿宋_GB2312" w:eastAsia="仿宋_GB2312" w:cs="仿宋_GB2312"/>
          <w:b/>
          <w:bCs w:val="0"/>
          <w:color w:val="auto"/>
          <w:spacing w:val="0"/>
          <w:sz w:val="32"/>
          <w:szCs w:val="32"/>
          <w:highlight w:val="none"/>
          <w:u w:val="none"/>
          <w:lang w:val="en-US" w:eastAsia="zh-CN"/>
        </w:rPr>
        <w:t>实施农村人居环境整治工程。</w:t>
      </w:r>
      <w:r>
        <w:rPr>
          <w:rFonts w:hint="eastAsia" w:ascii="仿宋_GB2312" w:hAnsi="仿宋_GB2312" w:eastAsia="仿宋_GB2312" w:cs="仿宋_GB2312"/>
          <w:b w:val="0"/>
          <w:bCs/>
          <w:color w:val="auto"/>
          <w:spacing w:val="0"/>
          <w:sz w:val="32"/>
          <w:szCs w:val="32"/>
          <w:highlight w:val="none"/>
          <w:u w:val="none"/>
          <w:lang w:val="en-US" w:eastAsia="zh-CN"/>
        </w:rPr>
        <w:t>统筹乡村基础设施和公共服务布局，完成“煤改电”13119户，改建室内水冲户厕806户，新建污水处理站2个、小型污水处理设施10个、垃圾焚烧炉5个，打造乡村绿化美化示范村45个，完成绿化造林6.5万亩，建设宜居宜业和美乡村。</w:t>
      </w:r>
    </w:p>
    <w:p>
      <w:pPr>
        <w:keepNext w:val="0"/>
        <w:keepLines w:val="0"/>
        <w:pageBreakBefore w:val="0"/>
        <w:widowControl w:val="0"/>
        <w:kinsoku/>
        <w:wordWrap/>
        <w:overflowPunct/>
        <w:topLinePunct w:val="0"/>
        <w:autoSpaceDE/>
        <w:autoSpaceDN/>
        <w:bidi w:val="0"/>
        <w:spacing w:line="576" w:lineRule="exact"/>
        <w:ind w:firstLine="643" w:firstLineChars="200"/>
        <w:jc w:val="both"/>
        <w:textAlignment w:val="auto"/>
        <w:rPr>
          <w:rFonts w:hint="eastAsia" w:ascii="仿宋_GB2312" w:hAnsi="仿宋_GB2312" w:eastAsia="仿宋_GB2312" w:cs="仿宋_GB2312"/>
          <w:b w:val="0"/>
          <w:bCs w:val="0"/>
          <w:color w:val="auto"/>
          <w:spacing w:val="0"/>
          <w:kern w:val="2"/>
          <w:sz w:val="32"/>
          <w:szCs w:val="32"/>
          <w:highlight w:val="none"/>
          <w:u w:val="none"/>
          <w:shd w:val="clear" w:color="auto" w:fill="auto"/>
          <w:lang w:val="en-US" w:eastAsia="zh-CN" w:bidi="ar-SA"/>
        </w:rPr>
      </w:pPr>
      <w:r>
        <w:rPr>
          <w:rFonts w:hint="default" w:ascii="Times New Roman" w:hAnsi="Times New Roman" w:eastAsia="楷体_GB2312" w:cs="Times New Roman"/>
          <w:b/>
          <w:bCs/>
          <w:color w:val="auto"/>
          <w:spacing w:val="0"/>
          <w:sz w:val="32"/>
          <w:szCs w:val="32"/>
          <w:u w:val="none"/>
          <w:lang w:val="en-US" w:eastAsia="zh-CN"/>
        </w:rPr>
        <w:t>（二）全力推进工业振兴，加速构建现代产业体系。</w:t>
      </w:r>
      <w:r>
        <w:rPr>
          <w:rFonts w:hint="eastAsia" w:ascii="仿宋_GB2312" w:hAnsi="仿宋_GB2312" w:eastAsia="仿宋_GB2312" w:cs="仿宋_GB2312"/>
          <w:b w:val="0"/>
          <w:bCs/>
          <w:color w:val="auto"/>
          <w:spacing w:val="0"/>
          <w:sz w:val="32"/>
          <w:szCs w:val="32"/>
          <w:highlight w:val="none"/>
          <w:u w:val="none"/>
          <w:lang w:val="en-US" w:eastAsia="zh-CN"/>
        </w:rPr>
        <w:t>坚持把经济发展的着力点放在实体经济上，以“干就干成、干就干好”的决心扎实推进工业振兴“十大重点工程”，大抓工业、大干工业、大兴工业，建成并引进一批“含金量”“含绿量”“含新量”高的优质项目</w:t>
      </w:r>
      <w:r>
        <w:rPr>
          <w:rFonts w:hint="eastAsia" w:ascii="仿宋_GB2312" w:hAnsi="仿宋_GB2312" w:eastAsia="仿宋_GB2312" w:cs="仿宋_GB2312"/>
          <w:b w:val="0"/>
          <w:bCs/>
          <w:color w:val="auto"/>
          <w:spacing w:val="0"/>
          <w:sz w:val="32"/>
          <w:szCs w:val="32"/>
          <w:highlight w:val="none"/>
          <w:u w:val="none"/>
          <w:lang w:val="en-US"/>
        </w:rPr>
        <w:t>，</w:t>
      </w:r>
      <w:r>
        <w:rPr>
          <w:rFonts w:hint="eastAsia" w:ascii="仿宋_GB2312" w:hAnsi="仿宋_GB2312" w:eastAsia="仿宋_GB2312" w:cs="仿宋_GB2312"/>
          <w:b w:val="0"/>
          <w:bCs/>
          <w:color w:val="auto"/>
          <w:spacing w:val="0"/>
          <w:sz w:val="32"/>
          <w:szCs w:val="32"/>
          <w:highlight w:val="none"/>
          <w:u w:val="none"/>
          <w:lang w:val="en-US" w:eastAsia="zh-CN"/>
        </w:rPr>
        <w:t>全年引进国内资金35亿元以上，推进工业重塑优势、重振雄风。</w:t>
      </w:r>
      <w:r>
        <w:rPr>
          <w:rFonts w:hint="eastAsia" w:ascii="仿宋_GB2312" w:hAnsi="仿宋_GB2312" w:eastAsia="仿宋_GB2312" w:cs="仿宋_GB2312"/>
          <w:b/>
          <w:bCs/>
          <w:color w:val="auto"/>
          <w:spacing w:val="0"/>
          <w:kern w:val="0"/>
          <w:sz w:val="32"/>
          <w:szCs w:val="32"/>
          <w:u w:val="none"/>
          <w:lang w:val="en-US" w:eastAsia="zh-CN"/>
        </w:rPr>
        <w:t>实施农畜产品精深加工工程。</w:t>
      </w:r>
      <w:r>
        <w:rPr>
          <w:rFonts w:hint="eastAsia" w:ascii="仿宋_GB2312" w:hAnsi="仿宋_GB2312" w:eastAsia="仿宋_GB2312" w:cs="仿宋_GB2312"/>
          <w:b w:val="0"/>
          <w:bCs/>
          <w:color w:val="auto"/>
          <w:spacing w:val="0"/>
          <w:sz w:val="32"/>
          <w:szCs w:val="32"/>
          <w:highlight w:val="none"/>
          <w:u w:val="none"/>
          <w:lang w:val="en-US" w:eastAsia="zh-CN"/>
        </w:rPr>
        <w:t>重点推动向日</w:t>
      </w:r>
      <w:r>
        <w:rPr>
          <w:rFonts w:hint="eastAsia" w:ascii="仿宋_GB2312" w:hAnsi="仿宋_GB2312" w:eastAsia="仿宋_GB2312" w:cs="仿宋_GB2312"/>
          <w:color w:val="auto"/>
          <w:spacing w:val="0"/>
          <w:sz w:val="32"/>
          <w:szCs w:val="32"/>
          <w:u w:val="none"/>
          <w:lang w:val="en-US" w:eastAsia="zh-CN"/>
        </w:rPr>
        <w:t>葵产业</w:t>
      </w:r>
      <w:r>
        <w:rPr>
          <w:rFonts w:hint="eastAsia" w:ascii="仿宋_GB2312" w:hAnsi="仿宋_GB2312" w:eastAsia="仿宋_GB2312" w:cs="仿宋_GB2312"/>
          <w:b w:val="0"/>
          <w:bCs/>
          <w:color w:val="auto"/>
          <w:spacing w:val="0"/>
          <w:sz w:val="32"/>
          <w:szCs w:val="32"/>
          <w:highlight w:val="none"/>
          <w:u w:val="none"/>
          <w:lang w:val="en-US" w:eastAsia="zh-CN"/>
        </w:rPr>
        <w:t>集群、河套特色小麦科创产业园区、辣椒深加工等7个项目建设，打造独具特色、产业链长、集聚效应明显的绿色农畜产品加工输出基地。</w:t>
      </w:r>
      <w:r>
        <w:rPr>
          <w:rFonts w:hint="eastAsia" w:ascii="仿宋_GB2312" w:hAnsi="仿宋_GB2312" w:eastAsia="仿宋_GB2312" w:cs="仿宋_GB2312"/>
          <w:b/>
          <w:bCs/>
          <w:color w:val="auto"/>
          <w:spacing w:val="0"/>
          <w:kern w:val="0"/>
          <w:sz w:val="32"/>
          <w:szCs w:val="32"/>
          <w:u w:val="none"/>
          <w:lang w:val="en-US" w:eastAsia="zh-CN"/>
        </w:rPr>
        <w:t>实施绒纺皮革产业提振工程。</w:t>
      </w:r>
      <w:r>
        <w:rPr>
          <w:rFonts w:hint="eastAsia" w:ascii="仿宋_GB2312" w:hAnsi="仿宋_GB2312" w:eastAsia="仿宋_GB2312" w:cs="仿宋_GB2312"/>
          <w:b w:val="0"/>
          <w:bCs/>
          <w:color w:val="auto"/>
          <w:spacing w:val="0"/>
          <w:sz w:val="32"/>
          <w:szCs w:val="32"/>
          <w:highlight w:val="none"/>
          <w:u w:val="none"/>
          <w:lang w:val="en-US" w:eastAsia="zh-CN"/>
        </w:rPr>
        <w:t>聚焦提高绒纺皮革产业层次，采用提质、补链、扩输等方式，推动春雪羊绒、际华森普利等企业增产扩能，示范带动传统产业高端化、智能化、绿色化升级，想方设法把产品的增值收益留在临河、把资源的潜力充分挖掘出来，激发绒纺皮革产业新活力。</w:t>
      </w:r>
      <w:r>
        <w:rPr>
          <w:rFonts w:hint="eastAsia" w:ascii="仿宋_GB2312" w:hAnsi="仿宋_GB2312" w:eastAsia="仿宋_GB2312" w:cs="仿宋_GB2312"/>
          <w:b/>
          <w:bCs/>
          <w:color w:val="auto"/>
          <w:spacing w:val="0"/>
          <w:kern w:val="0"/>
          <w:sz w:val="32"/>
          <w:szCs w:val="32"/>
          <w:u w:val="none"/>
          <w:lang w:val="en-US" w:eastAsia="zh-CN"/>
        </w:rPr>
        <w:t>实施医药及生物技术产业扩能工程。</w:t>
      </w:r>
      <w:r>
        <w:rPr>
          <w:rFonts w:hint="eastAsia" w:ascii="仿宋_GB2312" w:hAnsi="仿宋_GB2312" w:eastAsia="仿宋_GB2312" w:cs="仿宋_GB2312"/>
          <w:b w:val="0"/>
          <w:bCs/>
          <w:color w:val="auto"/>
          <w:spacing w:val="0"/>
          <w:sz w:val="32"/>
          <w:szCs w:val="32"/>
          <w:highlight w:val="none"/>
          <w:u w:val="none"/>
          <w:lang w:val="en-US" w:eastAsia="zh-CN"/>
        </w:rPr>
        <w:t>大力发展成品药、现代中药、生物循环等产业，支持医药产业由医药中间体、原料药向成品药和制剂延伸，加快推进联邦制药多杀菌素、他唑巴坦酸增产等7个项目建设，推动生物医药产业健康快速</w:t>
      </w:r>
      <w:r>
        <w:rPr>
          <w:rFonts w:hint="eastAsia" w:ascii="仿宋_GB2312" w:hAnsi="仿宋_GB2312" w:eastAsia="仿宋_GB2312" w:cs="仿宋_GB2312"/>
          <w:b w:val="0"/>
          <w:bCs w:val="0"/>
          <w:color w:val="auto"/>
          <w:spacing w:val="0"/>
          <w:sz w:val="32"/>
          <w:szCs w:val="32"/>
          <w:u w:val="none"/>
          <w:lang w:val="en-US" w:eastAsia="zh-CN"/>
        </w:rPr>
        <w:t>发展。</w:t>
      </w:r>
      <w:r>
        <w:rPr>
          <w:rFonts w:hint="eastAsia" w:ascii="仿宋_GB2312" w:hAnsi="仿宋_GB2312" w:eastAsia="仿宋_GB2312" w:cs="仿宋_GB2312"/>
          <w:b/>
          <w:bCs/>
          <w:color w:val="auto"/>
          <w:spacing w:val="0"/>
          <w:sz w:val="32"/>
          <w:szCs w:val="32"/>
          <w:u w:val="none"/>
          <w:lang w:val="en-US" w:eastAsia="zh-CN"/>
        </w:rPr>
        <w:t>实施石油产业配套工程。</w:t>
      </w:r>
      <w:r>
        <w:rPr>
          <w:rFonts w:hint="eastAsia" w:ascii="仿宋_GB2312" w:hAnsi="仿宋_GB2312" w:eastAsia="仿宋_GB2312" w:cs="仿宋_GB2312"/>
          <w:b w:val="0"/>
          <w:bCs/>
          <w:color w:val="auto"/>
          <w:spacing w:val="0"/>
          <w:sz w:val="32"/>
          <w:szCs w:val="32"/>
          <w:highlight w:val="none"/>
          <w:u w:val="none"/>
          <w:lang w:val="en-US" w:eastAsia="zh-CN"/>
        </w:rPr>
        <w:t>积极支持华北油田勘探开发，高效推进巴彦油田联合站、转运站、配套产业园等6个项目建设，主动开拓石油衍生配套产业，实现全产业链发展，为我区经济高质量发展增添新引擎。</w:t>
      </w:r>
      <w:r>
        <w:rPr>
          <w:rFonts w:hint="eastAsia" w:ascii="仿宋_GB2312" w:hAnsi="仿宋_GB2312" w:eastAsia="仿宋_GB2312" w:cs="仿宋_GB2312"/>
          <w:b/>
          <w:bCs/>
          <w:color w:val="auto"/>
          <w:spacing w:val="0"/>
          <w:sz w:val="32"/>
          <w:szCs w:val="32"/>
          <w:u w:val="none"/>
          <w:lang w:val="en-US" w:eastAsia="zh-CN"/>
        </w:rPr>
        <w:t>实施新能源产业开发工程。</w:t>
      </w:r>
      <w:r>
        <w:rPr>
          <w:rFonts w:hint="eastAsia" w:ascii="仿宋_GB2312" w:hAnsi="仿宋_GB2312" w:eastAsia="仿宋_GB2312" w:cs="仿宋_GB2312"/>
          <w:color w:val="auto"/>
          <w:spacing w:val="0"/>
          <w:kern w:val="0"/>
          <w:sz w:val="32"/>
          <w:szCs w:val="32"/>
          <w:u w:val="none"/>
          <w:lang w:val="en-US" w:eastAsia="zh-CN"/>
        </w:rPr>
        <w:t>统筹风光资源开发、运维服务等全方位、多层次、宽领域发展，全力推进</w:t>
      </w:r>
      <w:r>
        <w:rPr>
          <w:rFonts w:hint="eastAsia" w:ascii="仿宋_GB2312" w:hAnsi="仿宋_GB2312" w:eastAsia="仿宋_GB2312" w:cs="仿宋_GB2312"/>
          <w:b w:val="0"/>
          <w:bCs w:val="0"/>
          <w:color w:val="auto"/>
          <w:spacing w:val="0"/>
          <w:sz w:val="32"/>
          <w:szCs w:val="32"/>
          <w:highlight w:val="none"/>
          <w:u w:val="none"/>
          <w:lang w:val="en-US" w:eastAsia="zh-CN"/>
        </w:rPr>
        <w:t>临河热电厂灵活性改造、</w:t>
      </w:r>
      <w:r>
        <w:rPr>
          <w:rFonts w:hint="eastAsia" w:ascii="仿宋_GB2312" w:hAnsi="仿宋_GB2312" w:eastAsia="仿宋_GB2312" w:cs="仿宋_GB2312"/>
          <w:color w:val="auto"/>
          <w:spacing w:val="0"/>
          <w:kern w:val="0"/>
          <w:sz w:val="32"/>
          <w:szCs w:val="32"/>
          <w:u w:val="none"/>
          <w:lang w:val="en-US" w:eastAsia="zh-CN"/>
        </w:rPr>
        <w:t>屋顶分布式光伏等7个项目建设，培育光热电站、试验基地等</w:t>
      </w:r>
      <w:r>
        <w:rPr>
          <w:rFonts w:hint="eastAsia" w:ascii="仿宋_GB2312" w:hAnsi="仿宋_GB2312" w:eastAsia="仿宋_GB2312" w:cs="仿宋_GB2312"/>
          <w:color w:val="auto"/>
          <w:spacing w:val="0"/>
          <w:sz w:val="32"/>
          <w:szCs w:val="32"/>
          <w:u w:val="none"/>
          <w:lang w:val="en-US" w:eastAsia="zh-CN"/>
        </w:rPr>
        <w:t>，构建具有临河特色的新能源产业集群</w:t>
      </w:r>
      <w:r>
        <w:rPr>
          <w:rFonts w:hint="eastAsia" w:ascii="仿宋_GB2312" w:hAnsi="仿宋_GB2312" w:eastAsia="仿宋_GB2312" w:cs="仿宋_GB2312"/>
          <w:b w:val="0"/>
          <w:bCs w:val="0"/>
          <w:color w:val="auto"/>
          <w:spacing w:val="0"/>
          <w:sz w:val="32"/>
          <w:szCs w:val="32"/>
          <w:u w:val="none"/>
          <w:lang w:val="en-US" w:eastAsia="zh-CN"/>
        </w:rPr>
        <w:t>。</w:t>
      </w:r>
      <w:r>
        <w:rPr>
          <w:rFonts w:hint="eastAsia" w:ascii="仿宋_GB2312" w:hAnsi="仿宋_GB2312" w:eastAsia="仿宋_GB2312" w:cs="仿宋_GB2312"/>
          <w:b/>
          <w:bCs/>
          <w:color w:val="auto"/>
          <w:spacing w:val="0"/>
          <w:sz w:val="32"/>
          <w:szCs w:val="32"/>
          <w:u w:val="none"/>
          <w:lang w:val="en-US" w:eastAsia="zh-CN"/>
        </w:rPr>
        <w:t>实施装备制造产业推进工程。</w:t>
      </w:r>
      <w:r>
        <w:rPr>
          <w:rFonts w:hint="eastAsia" w:ascii="仿宋_GB2312" w:hAnsi="仿宋_GB2312" w:eastAsia="仿宋_GB2312" w:cs="仿宋_GB2312"/>
          <w:b w:val="0"/>
          <w:bCs/>
          <w:color w:val="auto"/>
          <w:spacing w:val="0"/>
          <w:sz w:val="32"/>
          <w:szCs w:val="32"/>
          <w:highlight w:val="none"/>
          <w:u w:val="none"/>
          <w:lang w:val="en-US" w:eastAsia="zh-CN"/>
        </w:rPr>
        <w:t>大力发展新能源高端装备、氢能装备、农业全程机械化装备等产业，专班推进“</w:t>
      </w:r>
      <w:r>
        <w:rPr>
          <w:rFonts w:hint="eastAsia" w:ascii="仿宋_GB2312" w:hAnsi="仿宋_GB2312" w:eastAsia="仿宋_GB2312" w:cs="仿宋_GB2312"/>
          <w:color w:val="auto"/>
          <w:spacing w:val="0"/>
          <w:kern w:val="0"/>
          <w:sz w:val="32"/>
          <w:szCs w:val="32"/>
          <w:u w:val="none"/>
          <w:lang w:val="en-US" w:eastAsia="zh-CN"/>
        </w:rPr>
        <w:t>三一</w:t>
      </w:r>
      <w:r>
        <w:rPr>
          <w:rFonts w:hint="eastAsia" w:ascii="仿宋_GB2312" w:hAnsi="仿宋_GB2312" w:eastAsia="仿宋_GB2312" w:cs="仿宋_GB2312"/>
          <w:b w:val="0"/>
          <w:bCs/>
          <w:color w:val="auto"/>
          <w:spacing w:val="0"/>
          <w:sz w:val="32"/>
          <w:szCs w:val="32"/>
          <w:highlight w:val="none"/>
          <w:u w:val="none"/>
          <w:lang w:val="en-US" w:eastAsia="zh-CN"/>
        </w:rPr>
        <w:t>”</w:t>
      </w:r>
      <w:r>
        <w:rPr>
          <w:rFonts w:hint="eastAsia" w:ascii="仿宋_GB2312" w:hAnsi="仿宋_GB2312" w:eastAsia="仿宋_GB2312" w:cs="仿宋_GB2312"/>
          <w:color w:val="auto"/>
          <w:spacing w:val="0"/>
          <w:kern w:val="0"/>
          <w:sz w:val="32"/>
          <w:szCs w:val="32"/>
          <w:u w:val="none"/>
          <w:lang w:val="en-US" w:eastAsia="zh-CN"/>
        </w:rPr>
        <w:t>重能零碳产业园、龙腾光热装备产业园、新兴际华空气源热泵等6个项目建设</w:t>
      </w:r>
      <w:r>
        <w:rPr>
          <w:rFonts w:hint="eastAsia" w:ascii="仿宋_GB2312" w:hAnsi="仿宋_GB2312" w:eastAsia="仿宋_GB2312" w:cs="仿宋_GB2312"/>
          <w:b w:val="0"/>
          <w:bCs/>
          <w:color w:val="auto"/>
          <w:spacing w:val="0"/>
          <w:sz w:val="32"/>
          <w:szCs w:val="32"/>
          <w:highlight w:val="none"/>
          <w:u w:val="none"/>
          <w:lang w:val="en-US" w:eastAsia="zh-CN"/>
        </w:rPr>
        <w:t>，积极推动中船重工、王宝强实业等装备制造项目落地建设。</w:t>
      </w:r>
      <w:r>
        <w:rPr>
          <w:rFonts w:hint="eastAsia" w:ascii="仿宋_GB2312" w:hAnsi="仿宋_GB2312" w:eastAsia="仿宋_GB2312" w:cs="仿宋_GB2312"/>
          <w:b/>
          <w:bCs/>
          <w:color w:val="auto"/>
          <w:spacing w:val="0"/>
          <w:sz w:val="32"/>
          <w:szCs w:val="32"/>
          <w:u w:val="none"/>
          <w:lang w:val="en-US" w:eastAsia="zh-CN"/>
        </w:rPr>
        <w:t>实施新材料产业培育工程。</w:t>
      </w:r>
      <w:r>
        <w:rPr>
          <w:rFonts w:hint="eastAsia" w:ascii="仿宋_GB2312" w:hAnsi="仿宋_GB2312" w:eastAsia="仿宋_GB2312" w:cs="仿宋_GB2312"/>
          <w:b w:val="0"/>
          <w:bCs/>
          <w:color w:val="auto"/>
          <w:spacing w:val="0"/>
          <w:sz w:val="32"/>
          <w:szCs w:val="32"/>
          <w:highlight w:val="none"/>
          <w:u w:val="none"/>
          <w:lang w:val="en-US" w:eastAsia="zh-CN"/>
        </w:rPr>
        <w:t>紧跟新材料产业发展前沿，积极引进常州天合光能、内蒙绿汇、重庆墨希等企业，重点培育多晶硅、单晶硅、石墨烯等加工项目。建设国家级超低能耗装配式建筑产业园，推动我区新材料产业全面起势。</w:t>
      </w:r>
      <w:r>
        <w:rPr>
          <w:rFonts w:hint="eastAsia" w:ascii="仿宋_GB2312" w:hAnsi="仿宋_GB2312" w:eastAsia="仿宋_GB2312" w:cs="仿宋_GB2312"/>
          <w:b/>
          <w:bCs/>
          <w:color w:val="auto"/>
          <w:spacing w:val="0"/>
          <w:sz w:val="32"/>
          <w:szCs w:val="32"/>
          <w:u w:val="none"/>
          <w:lang w:val="en-US" w:eastAsia="zh-CN"/>
        </w:rPr>
        <w:t>实施工业数字化发展工程。</w:t>
      </w:r>
      <w:r>
        <w:rPr>
          <w:rFonts w:hint="eastAsia" w:ascii="仿宋_GB2312" w:hAnsi="仿宋_GB2312" w:eastAsia="仿宋_GB2312" w:cs="仿宋_GB2312"/>
          <w:b w:val="0"/>
          <w:bCs w:val="0"/>
          <w:color w:val="auto"/>
          <w:spacing w:val="0"/>
          <w:sz w:val="32"/>
          <w:szCs w:val="32"/>
          <w:u w:val="none"/>
          <w:lang w:val="en-US" w:eastAsia="zh-CN"/>
        </w:rPr>
        <w:t>大力支持规上企业利用工业互联网、5G技术开展智能化改造和数字化转型，推动瘤胃胶囊数字化、联源热电脱硝绿色改造等5个项目完工，让数字技术通园区、联设备、进企业、入车间，促进新一代信息技术与制造业深度融合，实现更高水平发展。</w:t>
      </w:r>
      <w:r>
        <w:rPr>
          <w:rFonts w:hint="eastAsia" w:ascii="仿宋_GB2312" w:hAnsi="仿宋_GB2312" w:eastAsia="仿宋_GB2312" w:cs="仿宋_GB2312"/>
          <w:b/>
          <w:bCs/>
          <w:color w:val="auto"/>
          <w:spacing w:val="0"/>
          <w:sz w:val="32"/>
          <w:szCs w:val="32"/>
          <w:u w:val="none"/>
          <w:lang w:val="en-US" w:eastAsia="zh-CN"/>
        </w:rPr>
        <w:t>实施电网配套工程。</w:t>
      </w:r>
      <w:r>
        <w:rPr>
          <w:rFonts w:hint="eastAsia" w:ascii="仿宋_GB2312" w:hAnsi="仿宋_GB2312" w:eastAsia="仿宋_GB2312" w:cs="仿宋_GB2312"/>
          <w:b w:val="0"/>
          <w:bCs w:val="0"/>
          <w:color w:val="auto"/>
          <w:spacing w:val="0"/>
          <w:sz w:val="32"/>
          <w:szCs w:val="32"/>
          <w:u w:val="none"/>
          <w:lang w:val="en-US" w:eastAsia="zh-CN"/>
        </w:rPr>
        <w:t>加快推进临河热电厂、</w:t>
      </w:r>
      <w:r>
        <w:rPr>
          <w:rFonts w:hint="eastAsia" w:ascii="仿宋_GB2312" w:hAnsi="仿宋_GB2312" w:eastAsia="仿宋_GB2312" w:cs="仿宋_GB2312"/>
          <w:b w:val="0"/>
          <w:bCs/>
          <w:color w:val="auto"/>
          <w:spacing w:val="0"/>
          <w:sz w:val="32"/>
          <w:szCs w:val="32"/>
          <w:highlight w:val="none"/>
          <w:u w:val="none"/>
          <w:lang w:val="en-US" w:eastAsia="zh-CN"/>
        </w:rPr>
        <w:t>联源热电联产、兆鑫热电联产等项目投产达效，新改建输配电线路280公里，为全区项目建设提供充足的电力供应，使之成为临河招商推介的又一张名片。</w:t>
      </w:r>
      <w:r>
        <w:rPr>
          <w:rFonts w:hint="eastAsia" w:ascii="仿宋_GB2312" w:hAnsi="仿宋_GB2312" w:eastAsia="仿宋_GB2312" w:cs="仿宋_GB2312"/>
          <w:b/>
          <w:bCs/>
          <w:color w:val="auto"/>
          <w:spacing w:val="0"/>
          <w:sz w:val="32"/>
          <w:szCs w:val="32"/>
          <w:u w:val="none"/>
          <w:lang w:val="en-US" w:eastAsia="zh-CN"/>
        </w:rPr>
        <w:t>实施仓储物流工程。</w:t>
      </w:r>
      <w:r>
        <w:rPr>
          <w:rFonts w:hint="eastAsia" w:ascii="仿宋_GB2312" w:hAnsi="仿宋_GB2312" w:eastAsia="仿宋_GB2312" w:cs="仿宋_GB2312"/>
          <w:b w:val="0"/>
          <w:bCs w:val="0"/>
          <w:color w:val="auto"/>
          <w:spacing w:val="0"/>
          <w:sz w:val="32"/>
          <w:szCs w:val="32"/>
          <w:u w:val="none"/>
          <w:lang w:val="en-US" w:eastAsia="zh-CN"/>
        </w:rPr>
        <w:t>大力推动天赋河套仓储保鲜冷链物流基地建成投运，启动建设临河区新型农畜产品物流园区，带动农产品预冷、分拣包装、初加工、冷链运输、物流配送、电商平台等产业快速发展，有效打通农产品销售的“最先一公里”和“最后一公里”。</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jc w:val="both"/>
        <w:textAlignment w:val="auto"/>
        <w:outlineLvl w:val="9"/>
        <w:rPr>
          <w:rFonts w:hint="eastAsia" w:ascii="仿宋_GB2312" w:hAnsi="仿宋_GB2312" w:eastAsia="仿宋_GB2312" w:cs="仿宋_GB2312"/>
          <w:b w:val="0"/>
          <w:bCs/>
          <w:color w:val="auto"/>
          <w:spacing w:val="0"/>
          <w:sz w:val="32"/>
          <w:szCs w:val="32"/>
          <w:highlight w:val="none"/>
          <w:u w:val="none"/>
          <w:lang w:val="en-US" w:eastAsia="zh-CN"/>
        </w:rPr>
      </w:pPr>
      <w:r>
        <w:rPr>
          <w:rFonts w:hint="default" w:ascii="Times New Roman" w:hAnsi="Times New Roman" w:eastAsia="楷体_GB2312" w:cs="Times New Roman"/>
          <w:b/>
          <w:bCs/>
          <w:color w:val="auto"/>
          <w:spacing w:val="0"/>
          <w:sz w:val="32"/>
          <w:szCs w:val="32"/>
          <w:u w:val="none"/>
          <w:lang w:val="en-US" w:eastAsia="zh-CN"/>
        </w:rPr>
        <w:t>（三）高位推进城市更新，打造宜居韧性智慧城市。</w:t>
      </w:r>
      <w:r>
        <w:rPr>
          <w:rFonts w:hint="eastAsia" w:ascii="仿宋_GB2312" w:hAnsi="仿宋_GB2312" w:eastAsia="仿宋_GB2312" w:cs="仿宋_GB2312"/>
          <w:b w:val="0"/>
          <w:bCs/>
          <w:color w:val="auto"/>
          <w:spacing w:val="0"/>
          <w:sz w:val="32"/>
          <w:szCs w:val="32"/>
          <w:highlight w:val="none"/>
          <w:u w:val="none"/>
          <w:lang w:val="en-US" w:eastAsia="zh-CN"/>
        </w:rPr>
        <w:t>坚持精心规划城市、精致建设城市、精细管理城市，以“奋勇争先、撸袖实干”的担当深入实施城市更新“十大重点工程”，建设“一带两区一枢纽”，促进城市各类要素高效集聚，形成主体优势互补、协调联动的城市高质量发展布局。</w:t>
      </w:r>
      <w:r>
        <w:rPr>
          <w:rFonts w:hint="eastAsia" w:ascii="仿宋_GB2312" w:hAnsi="仿宋_GB2312" w:eastAsia="仿宋_GB2312" w:cs="仿宋_GB2312"/>
          <w:b/>
          <w:bCs w:val="0"/>
          <w:color w:val="auto"/>
          <w:spacing w:val="0"/>
          <w:kern w:val="2"/>
          <w:sz w:val="32"/>
          <w:szCs w:val="32"/>
          <w:highlight w:val="none"/>
          <w:u w:val="none"/>
          <w:lang w:val="en-US" w:eastAsia="zh-CN" w:bidi="ar-SA"/>
        </w:rPr>
        <w:t>实施市政基础设施建设工程。</w:t>
      </w:r>
      <w:r>
        <w:rPr>
          <w:rFonts w:hint="eastAsia" w:ascii="仿宋_GB2312" w:hAnsi="仿宋_GB2312" w:eastAsia="仿宋_GB2312" w:cs="仿宋_GB2312"/>
          <w:b w:val="0"/>
          <w:bCs/>
          <w:color w:val="auto"/>
          <w:spacing w:val="0"/>
          <w:sz w:val="32"/>
          <w:szCs w:val="32"/>
          <w:highlight w:val="none"/>
          <w:u w:val="none"/>
          <w:lang w:val="en-US" w:eastAsia="zh-CN"/>
        </w:rPr>
        <w:t>重点推动解放街、临陕路出口拓宽改造及丰州路、帅丰街等18条道路改扩建，同步敷设污水、雨水、给水管网，统筹推进环城管网、泵站、道路更新改造，打通城市微循环。</w:t>
      </w:r>
      <w:r>
        <w:rPr>
          <w:rFonts w:hint="eastAsia" w:ascii="仿宋_GB2312" w:hAnsi="仿宋_GB2312" w:eastAsia="仿宋_GB2312" w:cs="仿宋_GB2312"/>
          <w:b/>
          <w:bCs/>
          <w:color w:val="auto"/>
          <w:spacing w:val="0"/>
          <w:sz w:val="32"/>
          <w:szCs w:val="32"/>
          <w:u w:val="none"/>
          <w:lang w:val="en-US" w:eastAsia="zh-CN"/>
        </w:rPr>
        <w:t>实施公共建筑建设工程。</w:t>
      </w:r>
      <w:r>
        <w:rPr>
          <w:rFonts w:hint="eastAsia" w:ascii="仿宋_GB2312" w:hAnsi="仿宋_GB2312" w:eastAsia="仿宋_GB2312" w:cs="仿宋_GB2312"/>
          <w:b w:val="0"/>
          <w:bCs/>
          <w:color w:val="auto"/>
          <w:spacing w:val="0"/>
          <w:sz w:val="32"/>
          <w:szCs w:val="32"/>
          <w:highlight w:val="none"/>
          <w:u w:val="none"/>
          <w:lang w:val="en-US" w:eastAsia="zh-CN"/>
        </w:rPr>
        <w:t>加大城市公共设施建设的投入力度，统筹教育科技、医疗卫生、文化体育、餐饮住宿等基础设施建设，着力增强居民生产生活服务功能，积极争取国家级“体育公园”等项目落地，加快黄河湾文旅产业园提标改造建设，推动马文化产业园加快建设，新建封闭式便民市场2处，进一步完善社区便民服务设施建设，构建优质多元服务业新体系，因地制宜打造新型文旅商业休闲街区。</w:t>
      </w:r>
      <w:r>
        <w:rPr>
          <w:rFonts w:hint="eastAsia" w:ascii="仿宋_GB2312" w:hAnsi="仿宋_GB2312" w:eastAsia="仿宋_GB2312" w:cs="仿宋_GB2312"/>
          <w:b/>
          <w:bCs w:val="0"/>
          <w:color w:val="auto"/>
          <w:spacing w:val="0"/>
          <w:kern w:val="2"/>
          <w:sz w:val="32"/>
          <w:szCs w:val="32"/>
          <w:highlight w:val="none"/>
          <w:u w:val="none"/>
          <w:lang w:val="en-US" w:eastAsia="zh-CN" w:bidi="ar-SA"/>
        </w:rPr>
        <w:t>实施保障性安居工程。</w:t>
      </w:r>
      <w:r>
        <w:rPr>
          <w:rFonts w:hint="eastAsia" w:ascii="仿宋_GB2312" w:hAnsi="仿宋_GB2312" w:eastAsia="仿宋_GB2312" w:cs="仿宋_GB2312"/>
          <w:b w:val="0"/>
          <w:bCs/>
          <w:color w:val="auto"/>
          <w:spacing w:val="0"/>
          <w:sz w:val="32"/>
          <w:szCs w:val="32"/>
          <w:highlight w:val="none"/>
          <w:u w:val="none"/>
          <w:lang w:val="en-US" w:eastAsia="zh-CN"/>
        </w:rPr>
        <w:t>加快建立多主体供给、多渠道保障、租购并举的住房制度，建设公租房278套，实施绿色家园等55个老旧小区改造以及大兰庙桥北、恒丰粮库东等3个片区1919户棚户区改造，进一步提升城市安居宜居水平。</w:t>
      </w:r>
      <w:r>
        <w:rPr>
          <w:rFonts w:hint="eastAsia" w:ascii="仿宋_GB2312" w:hAnsi="仿宋_GB2312" w:eastAsia="仿宋_GB2312" w:cs="仿宋_GB2312"/>
          <w:b/>
          <w:bCs w:val="0"/>
          <w:color w:val="auto"/>
          <w:spacing w:val="0"/>
          <w:kern w:val="2"/>
          <w:sz w:val="32"/>
          <w:szCs w:val="32"/>
          <w:highlight w:val="none"/>
          <w:u w:val="none"/>
          <w:lang w:val="en-US" w:eastAsia="zh-CN" w:bidi="ar-SA"/>
        </w:rPr>
        <w:t>实施园林绿化工程。</w:t>
      </w:r>
      <w:r>
        <w:rPr>
          <w:rFonts w:hint="eastAsia" w:ascii="仿宋_GB2312" w:hAnsi="仿宋_GB2312" w:eastAsia="仿宋_GB2312" w:cs="仿宋_GB2312"/>
          <w:b w:val="0"/>
          <w:bCs/>
          <w:color w:val="auto"/>
          <w:spacing w:val="0"/>
          <w:sz w:val="32"/>
          <w:szCs w:val="32"/>
          <w:highlight w:val="none"/>
          <w:u w:val="none"/>
          <w:lang w:val="en-US" w:eastAsia="zh-CN"/>
        </w:rPr>
        <w:t>强化口袋公园、城市道路节点建设改造，新建清光园口袋公园，绿化道路节点5个，新增绿地5.47万平方米，倡导绿色、循环、</w:t>
      </w:r>
      <w:r>
        <w:rPr>
          <w:rFonts w:hint="eastAsia" w:ascii="仿宋_GB2312" w:hAnsi="仿宋_GB2312" w:eastAsia="仿宋_GB2312" w:cs="仿宋_GB2312"/>
          <w:b w:val="0"/>
          <w:bCs/>
          <w:color w:val="auto"/>
          <w:spacing w:val="0"/>
          <w:sz w:val="32"/>
          <w:szCs w:val="32"/>
          <w:highlight w:val="none"/>
          <w:u w:val="none"/>
          <w:lang w:val="en-US"/>
        </w:rPr>
        <w:t>低碳</w:t>
      </w:r>
      <w:r>
        <w:rPr>
          <w:rFonts w:hint="eastAsia" w:ascii="仿宋_GB2312" w:hAnsi="仿宋_GB2312" w:eastAsia="仿宋_GB2312" w:cs="仿宋_GB2312"/>
          <w:b w:val="0"/>
          <w:bCs/>
          <w:color w:val="auto"/>
          <w:spacing w:val="0"/>
          <w:sz w:val="32"/>
          <w:szCs w:val="32"/>
          <w:highlight w:val="none"/>
          <w:u w:val="none"/>
          <w:lang w:val="en-US" w:eastAsia="zh-CN"/>
        </w:rPr>
        <w:t>生产生活方式，以点带面提升城市生态建设水平。</w:t>
      </w:r>
      <w:r>
        <w:rPr>
          <w:rFonts w:hint="eastAsia" w:ascii="仿宋_GB2312" w:hAnsi="仿宋_GB2312" w:eastAsia="仿宋_GB2312" w:cs="仿宋_GB2312"/>
          <w:b/>
          <w:bCs w:val="0"/>
          <w:color w:val="auto"/>
          <w:spacing w:val="0"/>
          <w:kern w:val="2"/>
          <w:sz w:val="32"/>
          <w:szCs w:val="32"/>
          <w:highlight w:val="none"/>
          <w:u w:val="none"/>
          <w:lang w:val="en-US" w:eastAsia="zh-CN" w:bidi="ar-SA"/>
        </w:rPr>
        <w:t>实施城市美化亮化工程。</w:t>
      </w:r>
      <w:r>
        <w:rPr>
          <w:rFonts w:hint="eastAsia" w:ascii="仿宋_GB2312" w:hAnsi="仿宋_GB2312" w:eastAsia="仿宋_GB2312" w:cs="仿宋_GB2312"/>
          <w:b w:val="0"/>
          <w:bCs/>
          <w:color w:val="auto"/>
          <w:spacing w:val="0"/>
          <w:sz w:val="32"/>
          <w:szCs w:val="32"/>
          <w:highlight w:val="none"/>
          <w:u w:val="none"/>
          <w:lang w:val="en-US" w:eastAsia="zh-CN"/>
        </w:rPr>
        <w:t>大力发展绿色交通、绿色建筑，统筹开展“城市伤疤”修复、基础设施维护更新等行动，着重提高西区173栋、新华街两侧102栋、胜利路两侧56栋建筑楼宇颜值，扮靓城市“容颜”。</w:t>
      </w:r>
      <w:r>
        <w:rPr>
          <w:rFonts w:hint="eastAsia" w:ascii="仿宋_GB2312" w:hAnsi="仿宋_GB2312" w:eastAsia="仿宋_GB2312" w:cs="仿宋_GB2312"/>
          <w:b/>
          <w:bCs w:val="0"/>
          <w:color w:val="auto"/>
          <w:spacing w:val="0"/>
          <w:kern w:val="2"/>
          <w:sz w:val="32"/>
          <w:szCs w:val="32"/>
          <w:highlight w:val="none"/>
          <w:u w:val="none"/>
          <w:lang w:val="en-US" w:eastAsia="zh-CN" w:bidi="ar-SA"/>
        </w:rPr>
        <w:t>实施城市精细化管理提质工程。</w:t>
      </w:r>
      <w:r>
        <w:rPr>
          <w:rFonts w:hint="eastAsia" w:ascii="仿宋_GB2312" w:hAnsi="仿宋_GB2312" w:eastAsia="仿宋_GB2312" w:cs="仿宋_GB2312"/>
          <w:b w:val="0"/>
          <w:bCs/>
          <w:color w:val="auto"/>
          <w:spacing w:val="0"/>
          <w:sz w:val="32"/>
          <w:szCs w:val="32"/>
          <w:highlight w:val="none"/>
          <w:u w:val="none"/>
          <w:lang w:val="en-US" w:eastAsia="zh-CN"/>
        </w:rPr>
        <w:t>巩固文明城市创建成果，积极推进生活垃圾分类提标提质，实现垃圾分类全覆盖；大力发展数字经济，推动城市管理、交通物流、市政服务等领域智慧化改造，建设高效顺畅的物联网体系</w:t>
      </w:r>
      <w:bookmarkStart w:id="0" w:name="_Toc9230"/>
      <w:r>
        <w:rPr>
          <w:rFonts w:hint="eastAsia" w:ascii="仿宋_GB2312" w:hAnsi="仿宋_GB2312" w:eastAsia="仿宋_GB2312" w:cs="仿宋_GB2312"/>
          <w:b w:val="0"/>
          <w:bCs/>
          <w:color w:val="auto"/>
          <w:spacing w:val="0"/>
          <w:sz w:val="32"/>
          <w:szCs w:val="32"/>
          <w:highlight w:val="none"/>
          <w:u w:val="none"/>
          <w:lang w:val="en-US" w:eastAsia="zh-CN"/>
        </w:rPr>
        <w:t>，全面激发“街长制”“网格化”“物业现代化”管理等城市治理新活力，努力构建共治共享新格局。</w:t>
      </w:r>
      <w:bookmarkEnd w:id="0"/>
      <w:r>
        <w:rPr>
          <w:rFonts w:hint="eastAsia" w:ascii="仿宋_GB2312" w:hAnsi="仿宋_GB2312" w:eastAsia="仿宋_GB2312" w:cs="仿宋_GB2312"/>
          <w:b/>
          <w:bCs w:val="0"/>
          <w:color w:val="auto"/>
          <w:spacing w:val="0"/>
          <w:kern w:val="2"/>
          <w:sz w:val="32"/>
          <w:szCs w:val="32"/>
          <w:highlight w:val="none"/>
          <w:u w:val="none"/>
          <w:lang w:val="en-US" w:eastAsia="zh-CN" w:bidi="ar-SA"/>
        </w:rPr>
        <w:t>实施房地产项目开发工程。</w:t>
      </w:r>
      <w:r>
        <w:rPr>
          <w:rFonts w:hint="eastAsia" w:ascii="仿宋_GB2312" w:hAnsi="仿宋_GB2312" w:eastAsia="仿宋_GB2312" w:cs="仿宋_GB2312"/>
          <w:color w:val="auto"/>
          <w:spacing w:val="0"/>
          <w:sz w:val="32"/>
          <w:szCs w:val="32"/>
          <w:u w:val="none"/>
          <w:lang w:val="en-US" w:eastAsia="zh-CN"/>
        </w:rPr>
        <w:t>坚持“房住不炒</w:t>
      </w:r>
      <w:r>
        <w:rPr>
          <w:rFonts w:hint="eastAsia" w:ascii="仿宋_GB2312" w:hAnsi="仿宋_GB2312" w:eastAsia="仿宋_GB2312" w:cs="仿宋_GB2312"/>
          <w:color w:val="auto"/>
          <w:spacing w:val="1"/>
          <w:sz w:val="32"/>
          <w:szCs w:val="32"/>
          <w:u w:val="none"/>
          <w:lang w:val="en-US" w:eastAsia="zh-CN"/>
        </w:rPr>
        <w:t>”定位，精准解决“久拆不动、拆而不净、建而不快”等遗留问题，完成征拆249户，用好用足“保交楼”政策，全力推动河套郡、华盛园等项目建设，年内“入住难”“回迁难”“</w:t>
      </w:r>
      <w:r>
        <w:rPr>
          <w:rFonts w:hint="eastAsia" w:ascii="仿宋_GB2312" w:hAnsi="仿宋_GB2312" w:eastAsia="仿宋_GB2312" w:cs="仿宋_GB2312"/>
          <w:b w:val="0"/>
          <w:bCs/>
          <w:color w:val="auto"/>
          <w:spacing w:val="1"/>
          <w:sz w:val="32"/>
          <w:szCs w:val="32"/>
          <w:highlight w:val="none"/>
          <w:u w:val="none"/>
          <w:lang w:val="en-US" w:eastAsia="zh-CN"/>
        </w:rPr>
        <w:t>办证难”问题清仓见底、应办尽办，保障房地产市场稳定发展。</w:t>
      </w:r>
      <w:r>
        <w:rPr>
          <w:rFonts w:hint="eastAsia" w:ascii="仿宋_GB2312" w:hAnsi="仿宋_GB2312" w:eastAsia="仿宋_GB2312" w:cs="仿宋_GB2312"/>
          <w:b/>
          <w:bCs w:val="0"/>
          <w:color w:val="auto"/>
          <w:spacing w:val="1"/>
          <w:kern w:val="2"/>
          <w:sz w:val="32"/>
          <w:szCs w:val="32"/>
          <w:highlight w:val="none"/>
          <w:u w:val="none"/>
          <w:lang w:val="en-US" w:eastAsia="zh-CN" w:bidi="ar-SA"/>
        </w:rPr>
        <w:t>实施公共停车位建设工程。</w:t>
      </w:r>
      <w:r>
        <w:rPr>
          <w:rFonts w:hint="eastAsia" w:ascii="仿宋_GB2312" w:hAnsi="仿宋_GB2312" w:eastAsia="仿宋_GB2312" w:cs="仿宋_GB2312"/>
          <w:b w:val="0"/>
          <w:bCs/>
          <w:color w:val="auto"/>
          <w:spacing w:val="1"/>
          <w:sz w:val="32"/>
          <w:szCs w:val="32"/>
          <w:highlight w:val="none"/>
          <w:u w:val="none"/>
          <w:lang w:val="en-US" w:eastAsia="zh-CN"/>
        </w:rPr>
        <w:t>合理布局城市停车场、立体车库，新增公共停车位4000个。加快充电基础设施建设，新建新能源充电站15处、充电桩515个，让充电服务更加优质便捷。</w:t>
      </w:r>
      <w:r>
        <w:rPr>
          <w:rFonts w:hint="eastAsia" w:ascii="仿宋_GB2312" w:hAnsi="仿宋_GB2312" w:eastAsia="仿宋_GB2312" w:cs="仿宋_GB2312"/>
          <w:b/>
          <w:bCs w:val="0"/>
          <w:color w:val="auto"/>
          <w:spacing w:val="1"/>
          <w:kern w:val="2"/>
          <w:sz w:val="32"/>
          <w:szCs w:val="32"/>
          <w:highlight w:val="none"/>
          <w:u w:val="none"/>
          <w:lang w:val="en-US" w:eastAsia="zh-CN" w:bidi="ar-SA"/>
        </w:rPr>
        <w:t>实施城市资源盘活工程。</w:t>
      </w:r>
      <w:r>
        <w:rPr>
          <w:rFonts w:hint="eastAsia" w:ascii="仿宋_GB2312" w:hAnsi="仿宋_GB2312" w:eastAsia="仿宋_GB2312" w:cs="仿宋_GB2312"/>
          <w:b w:val="0"/>
          <w:bCs/>
          <w:color w:val="auto"/>
          <w:spacing w:val="1"/>
          <w:sz w:val="32"/>
          <w:szCs w:val="32"/>
          <w:highlight w:val="none"/>
          <w:u w:val="none"/>
          <w:lang w:val="en-US" w:eastAsia="zh-CN"/>
        </w:rPr>
        <w:t>推动待批项目落地开工、“半拉子”工程重启竣工、闲置土地盘活利用、沉淀资金科学使用，把“沉睡资源”转化为资本资金，让城市各类要素优化配置、高效利用。</w:t>
      </w:r>
      <w:r>
        <w:rPr>
          <w:rFonts w:hint="eastAsia" w:ascii="仿宋_GB2312" w:hAnsi="仿宋_GB2312" w:eastAsia="仿宋_GB2312" w:cs="仿宋_GB2312"/>
          <w:b/>
          <w:bCs w:val="0"/>
          <w:color w:val="auto"/>
          <w:spacing w:val="1"/>
          <w:kern w:val="2"/>
          <w:sz w:val="32"/>
          <w:szCs w:val="32"/>
          <w:highlight w:val="none"/>
          <w:u w:val="none"/>
          <w:lang w:val="en-US" w:eastAsia="zh-CN" w:bidi="ar-SA"/>
        </w:rPr>
        <w:t>实施城市生命线安全工程。</w:t>
      </w:r>
      <w:r>
        <w:rPr>
          <w:rFonts w:hint="eastAsia" w:ascii="仿宋_GB2312" w:hAnsi="仿宋_GB2312" w:eastAsia="仿宋_GB2312" w:cs="仿宋_GB2312"/>
          <w:b w:val="0"/>
          <w:bCs/>
          <w:color w:val="auto"/>
          <w:spacing w:val="1"/>
          <w:sz w:val="32"/>
          <w:szCs w:val="32"/>
          <w:highlight w:val="none"/>
          <w:u w:val="none"/>
          <w:lang w:val="en-US" w:eastAsia="zh-CN"/>
        </w:rPr>
        <w:t>全面加强管网、路网、桥梁、房屋、燃气等隐患检查检修，加快城市生命线安全工程数据库、监测平台等建设，强化动态感知、监测预警、运行调度、联动指挥能力，持续提升城市安全水平。</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76" w:lineRule="exact"/>
        <w:ind w:right="0" w:firstLine="643" w:firstLineChars="200"/>
        <w:jc w:val="both"/>
        <w:textAlignment w:val="auto"/>
        <w:rPr>
          <w:rFonts w:hint="eastAsia" w:ascii="仿宋_GB2312" w:hAnsi="仿宋_GB2312" w:eastAsia="仿宋_GB2312" w:cs="仿宋_GB2312"/>
          <w:b w:val="0"/>
          <w:bCs/>
          <w:color w:val="auto"/>
          <w:spacing w:val="0"/>
          <w:sz w:val="32"/>
          <w:szCs w:val="32"/>
          <w:highlight w:val="none"/>
          <w:u w:val="none"/>
          <w:lang w:val="en-US" w:eastAsia="zh-CN"/>
        </w:rPr>
      </w:pPr>
      <w:r>
        <w:rPr>
          <w:rFonts w:hint="default" w:ascii="Times New Roman" w:hAnsi="Times New Roman" w:eastAsia="楷体_GB2312" w:cs="Times New Roman"/>
          <w:b/>
          <w:bCs/>
          <w:color w:val="auto"/>
          <w:spacing w:val="0"/>
          <w:sz w:val="32"/>
          <w:szCs w:val="32"/>
          <w:u w:val="none"/>
          <w:lang w:val="en-US" w:eastAsia="zh-CN"/>
        </w:rPr>
        <w:t>（四）持续深化改革创新，激发发展动能活力。</w:t>
      </w:r>
      <w:r>
        <w:rPr>
          <w:rFonts w:hint="eastAsia" w:ascii="仿宋_GB2312" w:hAnsi="仿宋_GB2312" w:eastAsia="仿宋_GB2312" w:cs="仿宋_GB2312"/>
          <w:b w:val="0"/>
          <w:bCs/>
          <w:color w:val="auto"/>
          <w:spacing w:val="1"/>
          <w:kern w:val="2"/>
          <w:sz w:val="32"/>
          <w:szCs w:val="32"/>
          <w:highlight w:val="none"/>
          <w:u w:val="none"/>
          <w:lang w:val="en-US" w:eastAsia="zh-CN" w:bidi="ar-SA"/>
        </w:rPr>
        <w:t>聚焦经济社会发展的重点难点堵点，精准施策、靶向发力，深入推进改革攻坚，进一步激活高质量发展潜力。</w:t>
      </w:r>
      <w:r>
        <w:rPr>
          <w:rFonts w:hint="eastAsia" w:ascii="仿宋_GB2312" w:hAnsi="仿宋_GB2312" w:eastAsia="仿宋_GB2312" w:cs="仿宋_GB2312"/>
          <w:b/>
          <w:bCs w:val="0"/>
          <w:color w:val="auto"/>
          <w:spacing w:val="1"/>
          <w:sz w:val="32"/>
          <w:szCs w:val="32"/>
          <w:highlight w:val="none"/>
          <w:u w:val="none"/>
          <w:lang w:val="en-US" w:eastAsia="zh-CN"/>
        </w:rPr>
        <w:t>持续优化营商环境。</w:t>
      </w:r>
      <w:r>
        <w:rPr>
          <w:rFonts w:hint="eastAsia" w:ascii="仿宋_GB2312" w:hAnsi="仿宋_GB2312" w:eastAsia="仿宋_GB2312" w:cs="仿宋_GB2312"/>
          <w:b w:val="0"/>
          <w:bCs/>
          <w:color w:val="auto"/>
          <w:spacing w:val="1"/>
          <w:sz w:val="32"/>
          <w:szCs w:val="32"/>
          <w:highlight w:val="none"/>
          <w:u w:val="none"/>
          <w:lang w:val="en-US" w:eastAsia="zh-CN"/>
        </w:rPr>
        <w:t>把精力放在创造环境、搞好服务上，深入推进“放管服”改革和“一门一窗一次”改革，加快推进政务服务事项向乡镇、街道、村、社区延伸，让更多事项网上办、就近办。深化“四办”服务，推行“容缺审批+承诺制”办理模式、“一项目一档案一专班”代办帮办机制，推进12345政务服务热线“一线通达”，让群众反映的事有人盯、有人办。深入贯彻落实助企纾困各项措施，对企业“无事不扰、难时出手、有呼必应”。</w:t>
      </w:r>
      <w:r>
        <w:rPr>
          <w:rFonts w:hint="eastAsia" w:ascii="仿宋_GB2312" w:hAnsi="仿宋_GB2312" w:eastAsia="仿宋_GB2312" w:cs="仿宋_GB2312"/>
          <w:b/>
          <w:bCs w:val="0"/>
          <w:color w:val="auto"/>
          <w:spacing w:val="1"/>
          <w:sz w:val="32"/>
          <w:szCs w:val="32"/>
          <w:highlight w:val="none"/>
          <w:u w:val="none"/>
          <w:lang w:val="en-US" w:eastAsia="zh-CN"/>
        </w:rPr>
        <w:t>加快重点领域改革。</w:t>
      </w:r>
      <w:r>
        <w:rPr>
          <w:rFonts w:hint="eastAsia" w:ascii="仿宋_GB2312" w:hAnsi="仿宋_GB2312" w:eastAsia="仿宋_GB2312" w:cs="仿宋_GB2312"/>
          <w:b w:val="0"/>
          <w:bCs/>
          <w:color w:val="auto"/>
          <w:spacing w:val="1"/>
          <w:kern w:val="2"/>
          <w:sz w:val="32"/>
          <w:szCs w:val="32"/>
          <w:highlight w:val="none"/>
          <w:u w:val="none"/>
          <w:lang w:val="en-US" w:eastAsia="zh-CN" w:bidi="ar-SA"/>
        </w:rPr>
        <w:t>在“节骨眼”处用力，扎实推进各项改革试点工作，稳步推进农村承包土地经营权、设施农业、牛活体抵押、农业保险</w:t>
      </w:r>
      <w:r>
        <w:rPr>
          <w:rFonts w:hint="eastAsia" w:ascii="仿宋_GB2312" w:hAnsi="仿宋_GB2312" w:eastAsia="仿宋_GB2312" w:cs="仿宋_GB2312"/>
          <w:b w:val="0"/>
          <w:bCs/>
          <w:color w:val="auto"/>
          <w:spacing w:val="1"/>
          <w:sz w:val="32"/>
          <w:szCs w:val="32"/>
          <w:highlight w:val="none"/>
          <w:u w:val="none"/>
          <w:lang w:val="en-US" w:eastAsia="zh-CN"/>
        </w:rPr>
        <w:t>制度等</w:t>
      </w:r>
      <w:r>
        <w:rPr>
          <w:rFonts w:hint="eastAsia" w:ascii="仿宋_GB2312" w:hAnsi="仿宋_GB2312" w:eastAsia="仿宋_GB2312" w:cs="仿宋_GB2312"/>
          <w:b w:val="0"/>
          <w:bCs/>
          <w:color w:val="auto"/>
          <w:spacing w:val="1"/>
          <w:kern w:val="2"/>
          <w:sz w:val="32"/>
          <w:szCs w:val="32"/>
          <w:highlight w:val="none"/>
          <w:u w:val="none"/>
          <w:lang w:val="en-US" w:eastAsia="zh-CN" w:bidi="ar-SA"/>
        </w:rPr>
        <w:t>改革，探索推进社会保险制度改革，以重点领域改革带动全局发展。健全完善管理服务监管体系，聚焦乡村振兴、工业振兴、城市更新三项“十大重点工程”，谋划更多更新更实的工作举措，力争形成可复制可推广的临河经验和临河模式。</w:t>
      </w:r>
      <w:r>
        <w:rPr>
          <w:rFonts w:hint="eastAsia" w:ascii="仿宋_GB2312" w:hAnsi="仿宋_GB2312" w:eastAsia="仿宋_GB2312" w:cs="仿宋_GB2312"/>
          <w:b/>
          <w:bCs w:val="0"/>
          <w:color w:val="auto"/>
          <w:spacing w:val="1"/>
          <w:sz w:val="32"/>
          <w:szCs w:val="32"/>
          <w:highlight w:val="none"/>
          <w:u w:val="none"/>
          <w:lang w:val="en-US" w:eastAsia="zh-CN"/>
        </w:rPr>
        <w:t>激活创新发展动能。</w:t>
      </w:r>
      <w:r>
        <w:rPr>
          <w:rFonts w:hint="eastAsia" w:ascii="仿宋_GB2312" w:hAnsi="仿宋_GB2312" w:eastAsia="仿宋_GB2312" w:cs="仿宋_GB2312"/>
          <w:b w:val="0"/>
          <w:bCs/>
          <w:color w:val="auto"/>
          <w:spacing w:val="1"/>
          <w:sz w:val="32"/>
          <w:szCs w:val="32"/>
          <w:highlight w:val="none"/>
          <w:u w:val="none"/>
          <w:lang w:val="en-US" w:eastAsia="zh-CN"/>
        </w:rPr>
        <w:t>依托“科技兴蒙”行动，大力实施“揭榜挂帅”制度，着力推进关键技术攻关和科技成果转化应用，支持企业与高校科研院所对接，建设创新平台，开展产学研合作，推进重点产业层次和创新水平提升。持续加大研发经费投入力度，力争新增市级以上创新平台6家。</w:t>
      </w:r>
    </w:p>
    <w:p>
      <w:pPr>
        <w:pStyle w:val="2"/>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仿宋_GB2312" w:eastAsia="仿宋_GB2312" w:cs="仿宋_GB2312"/>
          <w:b w:val="0"/>
          <w:bCs/>
          <w:color w:val="auto"/>
          <w:spacing w:val="0"/>
          <w:kern w:val="2"/>
          <w:sz w:val="32"/>
          <w:szCs w:val="32"/>
          <w:highlight w:val="none"/>
          <w:u w:val="none"/>
          <w:lang w:val="en-US" w:eastAsia="zh-CN" w:bidi="ar-SA"/>
        </w:rPr>
      </w:pPr>
      <w:r>
        <w:rPr>
          <w:rFonts w:hint="default" w:ascii="Times New Roman" w:hAnsi="Times New Roman" w:eastAsia="楷体_GB2312" w:cs="Times New Roman"/>
          <w:b/>
          <w:bCs/>
          <w:color w:val="auto"/>
          <w:spacing w:val="0"/>
          <w:sz w:val="32"/>
          <w:szCs w:val="32"/>
          <w:u w:val="none"/>
          <w:lang w:val="en-US" w:eastAsia="zh-CN"/>
        </w:rPr>
        <w:t>（五）统筹推进生态建设，厚植绿色发展优势。</w:t>
      </w:r>
      <w:r>
        <w:rPr>
          <w:rFonts w:hint="eastAsia" w:ascii="仿宋_GB2312" w:hAnsi="仿宋_GB2312" w:eastAsia="仿宋_GB2312" w:cs="仿宋_GB2312"/>
          <w:b w:val="0"/>
          <w:bCs/>
          <w:color w:val="auto"/>
          <w:spacing w:val="0"/>
          <w:sz w:val="32"/>
          <w:szCs w:val="32"/>
          <w:highlight w:val="none"/>
          <w:u w:val="none"/>
          <w:lang w:val="en-US" w:eastAsia="zh-CN"/>
        </w:rPr>
        <w:t>坚持精准治污、科学治污、依法治污，实现降碳、减污、扩绿、增长协同推进，让</w:t>
      </w:r>
      <w:r>
        <w:rPr>
          <w:rFonts w:hint="eastAsia" w:ascii="仿宋_GB2312" w:hAnsi="仿宋_GB2312" w:eastAsia="仿宋_GB2312" w:cs="仿宋_GB2312"/>
          <w:b w:val="0"/>
          <w:bCs/>
          <w:color w:val="auto"/>
          <w:spacing w:val="0"/>
          <w:sz w:val="32"/>
          <w:szCs w:val="32"/>
          <w:highlight w:val="none"/>
          <w:u w:val="none"/>
          <w:lang w:val="en-US"/>
        </w:rPr>
        <w:t>临河</w:t>
      </w:r>
      <w:r>
        <w:rPr>
          <w:rFonts w:hint="eastAsia" w:ascii="仿宋_GB2312" w:hAnsi="仿宋_GB2312" w:eastAsia="仿宋_GB2312" w:cs="仿宋_GB2312"/>
          <w:b w:val="0"/>
          <w:bCs/>
          <w:color w:val="auto"/>
          <w:spacing w:val="0"/>
          <w:sz w:val="32"/>
          <w:szCs w:val="32"/>
          <w:highlight w:val="none"/>
          <w:u w:val="none"/>
          <w:lang w:val="en-US" w:eastAsia="zh-CN"/>
        </w:rPr>
        <w:t>生态颜值更高。</w:t>
      </w:r>
      <w:r>
        <w:rPr>
          <w:rFonts w:hint="eastAsia" w:ascii="仿宋_GB2312" w:hAnsi="仿宋_GB2312" w:eastAsia="仿宋_GB2312" w:cs="仿宋_GB2312"/>
          <w:b/>
          <w:bCs w:val="0"/>
          <w:color w:val="auto"/>
          <w:spacing w:val="0"/>
          <w:sz w:val="32"/>
          <w:szCs w:val="32"/>
          <w:highlight w:val="none"/>
          <w:u w:val="none"/>
          <w:lang w:val="en-US" w:eastAsia="zh-CN"/>
        </w:rPr>
        <w:t>全面巩固环境治理成效。</w:t>
      </w:r>
      <w:r>
        <w:rPr>
          <w:rFonts w:hint="eastAsia" w:ascii="仿宋_GB2312" w:hAnsi="仿宋_GB2312" w:eastAsia="仿宋_GB2312" w:cs="仿宋_GB2312"/>
          <w:b w:val="0"/>
          <w:bCs/>
          <w:color w:val="auto"/>
          <w:spacing w:val="0"/>
          <w:kern w:val="2"/>
          <w:sz w:val="32"/>
          <w:szCs w:val="32"/>
          <w:highlight w:val="none"/>
          <w:u w:val="none"/>
          <w:lang w:val="en-US" w:eastAsia="zh-CN" w:bidi="ar-SA"/>
        </w:rPr>
        <w:t>紧盯中央、自治区生态环境保护督察交办问题，进一步压实整改责任，坚决整改销号，严防问题反弹。</w:t>
      </w:r>
      <w:r>
        <w:rPr>
          <w:rFonts w:hint="eastAsia" w:ascii="仿宋_GB2312" w:hAnsi="仿宋_GB2312" w:eastAsia="仿宋_GB2312" w:cs="仿宋_GB2312"/>
          <w:b/>
          <w:bCs w:val="0"/>
          <w:color w:val="auto"/>
          <w:spacing w:val="0"/>
          <w:sz w:val="32"/>
          <w:szCs w:val="32"/>
          <w:highlight w:val="none"/>
          <w:u w:val="none"/>
          <w:lang w:val="en-US" w:eastAsia="zh-CN"/>
        </w:rPr>
        <w:t>持续加强大气污染防治。</w:t>
      </w:r>
      <w:r>
        <w:rPr>
          <w:rFonts w:hint="eastAsia" w:ascii="仿宋_GB2312" w:hAnsi="仿宋_GB2312" w:eastAsia="仿宋_GB2312" w:cs="仿宋_GB2312"/>
          <w:b w:val="0"/>
          <w:bCs/>
          <w:color w:val="auto"/>
          <w:spacing w:val="0"/>
          <w:kern w:val="2"/>
          <w:sz w:val="32"/>
          <w:szCs w:val="32"/>
          <w:highlight w:val="none"/>
          <w:u w:val="none"/>
          <w:lang w:val="en-US" w:eastAsia="zh-CN" w:bidi="ar-SA"/>
        </w:rPr>
        <w:t>铁腕推进“扬尘治理”，落实在建工地、商砼站场、道路运输等抑尘措施</w:t>
      </w:r>
      <w:r>
        <w:rPr>
          <w:rFonts w:hint="eastAsia" w:ascii="仿宋_GB2312" w:hAnsi="仿宋_GB2312" w:eastAsia="仿宋_GB2312" w:cs="仿宋_GB2312"/>
          <w:b w:val="0"/>
          <w:bCs/>
          <w:color w:val="auto"/>
          <w:spacing w:val="0"/>
          <w:kern w:val="2"/>
          <w:sz w:val="32"/>
          <w:szCs w:val="32"/>
          <w:highlight w:val="none"/>
          <w:u w:val="none"/>
          <w:lang w:val="en-US" w:bidi="ar-SA"/>
        </w:rPr>
        <w:t>，</w:t>
      </w:r>
      <w:r>
        <w:rPr>
          <w:rFonts w:hint="eastAsia" w:ascii="仿宋_GB2312" w:hAnsi="仿宋_GB2312" w:eastAsia="仿宋_GB2312" w:cs="仿宋_GB2312"/>
          <w:b w:val="0"/>
          <w:bCs/>
          <w:color w:val="auto"/>
          <w:spacing w:val="0"/>
          <w:kern w:val="2"/>
          <w:sz w:val="32"/>
          <w:szCs w:val="32"/>
          <w:highlight w:val="none"/>
          <w:u w:val="none"/>
          <w:lang w:val="en-US" w:eastAsia="zh-CN" w:bidi="ar-SA"/>
        </w:rPr>
        <w:t>重点抓好工业、燃煤、机动车等环保顽疾治理，持续</w:t>
      </w:r>
      <w:r>
        <w:rPr>
          <w:rFonts w:hint="eastAsia" w:ascii="仿宋_GB2312" w:hAnsi="仿宋_GB2312" w:eastAsia="仿宋_GB2312" w:cs="仿宋_GB2312"/>
          <w:b w:val="0"/>
          <w:bCs/>
          <w:color w:val="auto"/>
          <w:spacing w:val="0"/>
          <w:kern w:val="2"/>
          <w:sz w:val="32"/>
          <w:szCs w:val="32"/>
          <w:highlight w:val="none"/>
          <w:u w:val="none"/>
          <w:lang w:val="en-US" w:bidi="ar-SA"/>
        </w:rPr>
        <w:t>推行秸秆</w:t>
      </w:r>
      <w:r>
        <w:rPr>
          <w:rFonts w:hint="eastAsia" w:ascii="仿宋_GB2312" w:hAnsi="仿宋_GB2312" w:eastAsia="仿宋_GB2312" w:cs="仿宋_GB2312"/>
          <w:b w:val="0"/>
          <w:bCs/>
          <w:color w:val="auto"/>
          <w:spacing w:val="0"/>
          <w:kern w:val="2"/>
          <w:sz w:val="32"/>
          <w:szCs w:val="32"/>
          <w:highlight w:val="none"/>
          <w:u w:val="none"/>
          <w:lang w:val="en-US" w:eastAsia="zh-CN" w:bidi="ar-SA"/>
        </w:rPr>
        <w:t>禁</w:t>
      </w:r>
      <w:r>
        <w:rPr>
          <w:rFonts w:hint="eastAsia" w:ascii="仿宋_GB2312" w:hAnsi="仿宋_GB2312" w:eastAsia="仿宋_GB2312" w:cs="仿宋_GB2312"/>
          <w:b w:val="0"/>
          <w:bCs/>
          <w:color w:val="auto"/>
          <w:spacing w:val="0"/>
          <w:kern w:val="2"/>
          <w:sz w:val="32"/>
          <w:szCs w:val="32"/>
          <w:highlight w:val="none"/>
          <w:u w:val="none"/>
          <w:lang w:val="en-US" w:bidi="ar-SA"/>
        </w:rPr>
        <w:t>烧、</w:t>
      </w:r>
      <w:r>
        <w:rPr>
          <w:rFonts w:hint="eastAsia" w:ascii="仿宋_GB2312" w:hAnsi="仿宋_GB2312" w:eastAsia="仿宋_GB2312" w:cs="仿宋_GB2312"/>
          <w:b w:val="0"/>
          <w:bCs/>
          <w:color w:val="auto"/>
          <w:spacing w:val="0"/>
          <w:kern w:val="2"/>
          <w:sz w:val="32"/>
          <w:szCs w:val="32"/>
          <w:highlight w:val="none"/>
          <w:u w:val="none"/>
          <w:lang w:val="en-US" w:eastAsia="zh-CN" w:bidi="ar-SA"/>
        </w:rPr>
        <w:t>区域限时</w:t>
      </w:r>
      <w:r>
        <w:rPr>
          <w:rFonts w:hint="eastAsia" w:ascii="仿宋_GB2312" w:hAnsi="仿宋_GB2312" w:eastAsia="仿宋_GB2312" w:cs="仿宋_GB2312"/>
          <w:b w:val="0"/>
          <w:bCs/>
          <w:color w:val="auto"/>
          <w:spacing w:val="0"/>
          <w:kern w:val="2"/>
          <w:sz w:val="32"/>
          <w:szCs w:val="32"/>
          <w:highlight w:val="none"/>
          <w:u w:val="none"/>
          <w:lang w:val="en-US" w:bidi="ar-SA"/>
        </w:rPr>
        <w:t>禁燃禁放等</w:t>
      </w:r>
      <w:r>
        <w:rPr>
          <w:rFonts w:hint="eastAsia" w:ascii="仿宋_GB2312" w:hAnsi="仿宋_GB2312" w:eastAsia="仿宋_GB2312" w:cs="仿宋_GB2312"/>
          <w:b w:val="0"/>
          <w:bCs/>
          <w:color w:val="auto"/>
          <w:spacing w:val="0"/>
          <w:kern w:val="2"/>
          <w:sz w:val="32"/>
          <w:szCs w:val="32"/>
          <w:highlight w:val="none"/>
          <w:u w:val="none"/>
          <w:lang w:val="en-US" w:eastAsia="zh-CN" w:bidi="ar-SA"/>
        </w:rPr>
        <w:t>专项整治</w:t>
      </w:r>
      <w:r>
        <w:rPr>
          <w:rFonts w:hint="eastAsia" w:ascii="仿宋_GB2312" w:hAnsi="仿宋_GB2312" w:eastAsia="仿宋_GB2312" w:cs="仿宋_GB2312"/>
          <w:b w:val="0"/>
          <w:bCs/>
          <w:color w:val="auto"/>
          <w:spacing w:val="0"/>
          <w:kern w:val="2"/>
          <w:sz w:val="32"/>
          <w:szCs w:val="32"/>
          <w:highlight w:val="none"/>
          <w:u w:val="none"/>
          <w:lang w:val="en-US" w:bidi="ar-SA"/>
        </w:rPr>
        <w:t>行动，</w:t>
      </w:r>
      <w:r>
        <w:rPr>
          <w:rFonts w:hint="eastAsia" w:ascii="仿宋_GB2312" w:hAnsi="仿宋_GB2312" w:eastAsia="仿宋_GB2312" w:cs="仿宋_GB2312"/>
          <w:b w:val="0"/>
          <w:bCs/>
          <w:color w:val="auto"/>
          <w:spacing w:val="0"/>
          <w:kern w:val="2"/>
          <w:sz w:val="32"/>
          <w:szCs w:val="32"/>
          <w:highlight w:val="none"/>
          <w:u w:val="none"/>
          <w:lang w:val="en-US" w:eastAsia="zh-CN" w:bidi="ar-SA"/>
        </w:rPr>
        <w:t>推动空气环境质量有效改善。</w:t>
      </w:r>
      <w:r>
        <w:rPr>
          <w:rFonts w:hint="eastAsia" w:ascii="仿宋_GB2312" w:hAnsi="仿宋_GB2312" w:eastAsia="仿宋_GB2312" w:cs="仿宋_GB2312"/>
          <w:b/>
          <w:bCs w:val="0"/>
          <w:color w:val="auto"/>
          <w:spacing w:val="0"/>
          <w:sz w:val="32"/>
          <w:szCs w:val="32"/>
          <w:highlight w:val="none"/>
          <w:u w:val="none"/>
          <w:lang w:val="en-US" w:eastAsia="zh-CN"/>
        </w:rPr>
        <w:t>持续加强水污染防治。</w:t>
      </w:r>
      <w:r>
        <w:rPr>
          <w:rFonts w:hint="eastAsia" w:ascii="仿宋_GB2312" w:hAnsi="仿宋_GB2312" w:eastAsia="仿宋_GB2312" w:cs="仿宋_GB2312"/>
          <w:b w:val="0"/>
          <w:bCs/>
          <w:color w:val="auto"/>
          <w:spacing w:val="0"/>
          <w:kern w:val="2"/>
          <w:sz w:val="32"/>
          <w:szCs w:val="32"/>
          <w:highlight w:val="none"/>
          <w:u w:val="none"/>
          <w:lang w:val="en-US" w:eastAsia="zh-CN" w:bidi="ar-SA"/>
        </w:rPr>
        <w:t>推进水生态治理，抓好黄河大保护大治理、乌梁素海流域临河段水生态治理等工作，切实加大排查治理及水域岸线管控，规范化建设饮用水水源地保护区，保障城乡居民饮用水安全。</w:t>
      </w:r>
      <w:r>
        <w:rPr>
          <w:rFonts w:hint="eastAsia" w:ascii="仿宋_GB2312" w:hAnsi="仿宋_GB2312" w:eastAsia="仿宋_GB2312" w:cs="仿宋_GB2312"/>
          <w:b/>
          <w:bCs w:val="0"/>
          <w:color w:val="auto"/>
          <w:spacing w:val="0"/>
          <w:sz w:val="32"/>
          <w:szCs w:val="32"/>
          <w:highlight w:val="none"/>
          <w:u w:val="none"/>
          <w:lang w:val="en-US" w:eastAsia="zh-CN"/>
        </w:rPr>
        <w:t>持续加强土壤污染防治。</w:t>
      </w:r>
      <w:r>
        <w:rPr>
          <w:rFonts w:hint="eastAsia" w:ascii="仿宋_GB2312" w:hAnsi="仿宋_GB2312" w:eastAsia="仿宋_GB2312" w:cs="仿宋_GB2312"/>
          <w:b w:val="0"/>
          <w:bCs/>
          <w:color w:val="auto"/>
          <w:spacing w:val="0"/>
          <w:kern w:val="2"/>
          <w:sz w:val="32"/>
          <w:szCs w:val="32"/>
          <w:highlight w:val="none"/>
          <w:u w:val="none"/>
          <w:lang w:val="en-US" w:eastAsia="zh-CN" w:bidi="ar-SA"/>
        </w:rPr>
        <w:t>认真落实农业面源污染治理四年专项行动，建设治理示范点20个，主要农作物化肥、农药利用率提高到42%，地膜回收率达到83%以上。全面开展污染风险源头防控，严格执行环评审批和排污许可制度，规范处置固废、危废，推动固废综合利用。落实土壤重点监管企业污染防治责任，强化农村环境综合整治，助力推进乡村振兴。</w:t>
      </w:r>
      <w:r>
        <w:rPr>
          <w:rFonts w:hint="eastAsia" w:ascii="仿宋_GB2312" w:hAnsi="仿宋_GB2312" w:eastAsia="仿宋_GB2312" w:cs="仿宋_GB2312"/>
          <w:b/>
          <w:bCs w:val="0"/>
          <w:color w:val="auto"/>
          <w:spacing w:val="0"/>
          <w:sz w:val="32"/>
          <w:szCs w:val="32"/>
          <w:highlight w:val="none"/>
          <w:u w:val="none"/>
          <w:lang w:val="en-US" w:eastAsia="zh-CN"/>
        </w:rPr>
        <w:t>统筹推进山水林田湖草沙一体化保护修复和系统治理。</w:t>
      </w:r>
      <w:r>
        <w:rPr>
          <w:rFonts w:hint="eastAsia" w:ascii="仿宋_GB2312" w:hAnsi="仿宋_GB2312" w:eastAsia="仿宋_GB2312" w:cs="仿宋_GB2312"/>
          <w:b w:val="0"/>
          <w:bCs/>
          <w:color w:val="auto"/>
          <w:spacing w:val="0"/>
          <w:kern w:val="2"/>
          <w:sz w:val="32"/>
          <w:szCs w:val="32"/>
          <w:highlight w:val="none"/>
          <w:u w:val="none"/>
          <w:lang w:val="en-US" w:eastAsia="zh-CN" w:bidi="ar-SA"/>
        </w:rPr>
        <w:t>全面落实林长制、路长制、河湖长制，推进重点区域、重点企业、重点水系、重点路段配套绿化和环境治理工作，切实做好黄河国家湿地公园生物多样性保护，进一步筑牢绿色生态屏障，让蓝天白云、水清岸绿、繁星闪烁成为常态，美丽城市与美好生活有机融合。</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76" w:lineRule="exact"/>
        <w:ind w:right="0" w:firstLine="643" w:firstLineChars="200"/>
        <w:jc w:val="both"/>
        <w:textAlignment w:val="auto"/>
        <w:rPr>
          <w:rFonts w:hint="eastAsia" w:ascii="仿宋_GB2312" w:hAnsi="仿宋_GB2312" w:eastAsia="仿宋_GB2312" w:cs="仿宋_GB2312"/>
          <w:b w:val="0"/>
          <w:bCs/>
          <w:color w:val="auto"/>
          <w:spacing w:val="0"/>
          <w:kern w:val="2"/>
          <w:sz w:val="32"/>
          <w:szCs w:val="32"/>
          <w:highlight w:val="none"/>
          <w:u w:val="none"/>
          <w:lang w:val="en-US" w:eastAsia="zh-CN" w:bidi="ar-SA"/>
        </w:rPr>
      </w:pPr>
      <w:r>
        <w:rPr>
          <w:rFonts w:hint="default" w:ascii="Times New Roman" w:hAnsi="Times New Roman" w:eastAsia="楷体_GB2312" w:cs="Times New Roman"/>
          <w:b/>
          <w:bCs/>
          <w:color w:val="auto"/>
          <w:spacing w:val="0"/>
          <w:sz w:val="32"/>
          <w:szCs w:val="32"/>
          <w:u w:val="none"/>
          <w:lang w:val="en-US" w:eastAsia="zh-CN"/>
        </w:rPr>
        <w:t>（六）积极拓展</w:t>
      </w:r>
      <w:r>
        <w:rPr>
          <w:rFonts w:hint="eastAsia" w:ascii="Times New Roman" w:hAnsi="Times New Roman" w:eastAsia="楷体_GB2312" w:cs="Times New Roman"/>
          <w:b/>
          <w:bCs/>
          <w:color w:val="auto"/>
          <w:spacing w:val="0"/>
          <w:sz w:val="32"/>
          <w:szCs w:val="32"/>
          <w:u w:val="none"/>
          <w:lang w:val="en-US" w:eastAsia="zh-CN"/>
        </w:rPr>
        <w:t>内</w:t>
      </w:r>
      <w:r>
        <w:rPr>
          <w:rFonts w:hint="default" w:ascii="Times New Roman" w:hAnsi="Times New Roman" w:eastAsia="楷体_GB2312" w:cs="Times New Roman"/>
          <w:b/>
          <w:bCs/>
          <w:color w:val="auto"/>
          <w:spacing w:val="0"/>
          <w:sz w:val="32"/>
          <w:szCs w:val="32"/>
          <w:u w:val="none"/>
          <w:lang w:val="en-US" w:eastAsia="zh-CN"/>
        </w:rPr>
        <w:t>外合作交流，</w:t>
      </w:r>
      <w:r>
        <w:rPr>
          <w:rFonts w:hint="eastAsia" w:ascii="Times New Roman" w:hAnsi="Times New Roman" w:eastAsia="楷体_GB2312" w:cs="Times New Roman"/>
          <w:b/>
          <w:bCs/>
          <w:color w:val="auto"/>
          <w:spacing w:val="0"/>
          <w:sz w:val="32"/>
          <w:szCs w:val="32"/>
          <w:u w:val="none"/>
          <w:lang w:val="en-US" w:eastAsia="zh-CN"/>
        </w:rPr>
        <w:t>建设</w:t>
      </w:r>
      <w:r>
        <w:rPr>
          <w:rFonts w:hint="default" w:ascii="Times New Roman" w:hAnsi="Times New Roman" w:eastAsia="楷体_GB2312" w:cs="Times New Roman"/>
          <w:b/>
          <w:bCs/>
          <w:color w:val="auto"/>
          <w:spacing w:val="0"/>
          <w:sz w:val="32"/>
          <w:szCs w:val="32"/>
          <w:u w:val="none"/>
          <w:lang w:val="en-US" w:eastAsia="zh-CN"/>
        </w:rPr>
        <w:t>向北开放重要桥头堡。</w:t>
      </w:r>
      <w:r>
        <w:rPr>
          <w:rFonts w:hint="eastAsia" w:ascii="仿宋_GB2312" w:hAnsi="仿宋_GB2312" w:eastAsia="仿宋_GB2312" w:cs="仿宋_GB2312"/>
          <w:b w:val="0"/>
          <w:bCs/>
          <w:color w:val="auto"/>
          <w:spacing w:val="0"/>
          <w:kern w:val="2"/>
          <w:sz w:val="32"/>
          <w:szCs w:val="32"/>
          <w:highlight w:val="none"/>
          <w:u w:val="none"/>
          <w:lang w:val="en-US" w:eastAsia="zh-CN" w:bidi="ar-SA"/>
        </w:rPr>
        <w:t>坚持更加积极主动的开放战略，深度参与“一带一路”和中蒙俄经济走廊建设，全方位拓展联通内外、辐射周边、资源集聚集散、要素融汇融通的全域开放平台，推动临河逐步走向开放前沿。</w:t>
      </w:r>
      <w:r>
        <w:rPr>
          <w:rFonts w:hint="eastAsia" w:ascii="仿宋_GB2312" w:hAnsi="仿宋_GB2312" w:eastAsia="仿宋_GB2312" w:cs="仿宋_GB2312"/>
          <w:b/>
          <w:bCs/>
          <w:color w:val="auto"/>
          <w:spacing w:val="0"/>
          <w:kern w:val="0"/>
          <w:sz w:val="32"/>
          <w:szCs w:val="32"/>
          <w:u w:val="none"/>
          <w:lang w:val="en-US" w:eastAsia="zh-CN"/>
        </w:rPr>
        <w:t>提升对外贸易开放新高度。</w:t>
      </w:r>
      <w:r>
        <w:rPr>
          <w:rFonts w:hint="eastAsia" w:ascii="仿宋_GB2312" w:hAnsi="仿宋_GB2312" w:eastAsia="仿宋_GB2312" w:cs="仿宋_GB2312"/>
          <w:b w:val="0"/>
          <w:bCs/>
          <w:color w:val="auto"/>
          <w:spacing w:val="0"/>
          <w:kern w:val="2"/>
          <w:sz w:val="32"/>
          <w:szCs w:val="32"/>
          <w:highlight w:val="none"/>
          <w:u w:val="none"/>
          <w:lang w:val="en-US" w:eastAsia="zh-CN" w:bidi="ar-SA"/>
        </w:rPr>
        <w:t>加快向北开放对蒙对俄投资合作，开展向蒙古国出口生活用品及果蔬类食品业务，大力推进国际营销体系建设，促进外经贸高质量发展，实现出口总额3.2亿美元、增长27%。深入挖掘“天赋河套”区域公用品牌潜力，建设一批对外合作交流平台和载体。探索建设跨境电子商务产业园，支持葵先生食品公司建设全市首家跨境电商免税体验店，支持鼎业、关尔、迦南等成熟海外仓企业在“一带一路”沿线国家建设公共海外仓，通过“跨境电商+海外仓”模式扩大跨境电子商务进出口，促进产品、仓储、物流、管理等生产要素交流与合作。</w:t>
      </w:r>
      <w:r>
        <w:rPr>
          <w:rFonts w:hint="eastAsia" w:ascii="仿宋_GB2312" w:hAnsi="仿宋_GB2312" w:eastAsia="仿宋_GB2312" w:cs="仿宋_GB2312"/>
          <w:b/>
          <w:bCs w:val="0"/>
          <w:color w:val="auto"/>
          <w:spacing w:val="0"/>
          <w:sz w:val="32"/>
          <w:szCs w:val="32"/>
          <w:highlight w:val="none"/>
          <w:u w:val="none"/>
          <w:lang w:val="en-US" w:eastAsia="zh-CN"/>
        </w:rPr>
        <w:t>加快构建对外开放新格局。</w:t>
      </w:r>
      <w:r>
        <w:rPr>
          <w:rFonts w:hint="eastAsia" w:ascii="仿宋_GB2312" w:hAnsi="仿宋_GB2312" w:eastAsia="仿宋_GB2312" w:cs="仿宋_GB2312"/>
          <w:b w:val="0"/>
          <w:bCs/>
          <w:color w:val="auto"/>
          <w:spacing w:val="0"/>
          <w:kern w:val="2"/>
          <w:sz w:val="32"/>
          <w:szCs w:val="32"/>
          <w:highlight w:val="none"/>
          <w:u w:val="none"/>
          <w:lang w:val="en-US" w:eastAsia="zh-CN" w:bidi="ar-SA"/>
        </w:rPr>
        <w:t>积极推动“加工贸易+B保”新模式，将俄罗斯木材进口至B保进行保税加工，将我区绿色农产品出口延伸到俄罗斯。全力推进临河铁路物流基地建设，打通铁海联运、陆海联运、Ｇ242国道向西南开放通道，把临河打造成为内联华北西北、外联俄蒙欧洲的区域中心城市和向北开放的重要节点城市。</w:t>
      </w:r>
      <w:r>
        <w:rPr>
          <w:rFonts w:hint="eastAsia" w:ascii="仿宋_GB2312" w:hAnsi="仿宋_GB2312" w:eastAsia="仿宋_GB2312" w:cs="仿宋_GB2312"/>
          <w:b/>
          <w:bCs w:val="0"/>
          <w:color w:val="auto"/>
          <w:spacing w:val="0"/>
          <w:sz w:val="32"/>
          <w:szCs w:val="32"/>
          <w:highlight w:val="none"/>
          <w:u w:val="none"/>
          <w:lang w:val="en-US" w:eastAsia="zh-CN"/>
        </w:rPr>
        <w:t>推动产业经济与商贸流通创新发展。</w:t>
      </w:r>
      <w:r>
        <w:rPr>
          <w:rFonts w:hint="eastAsia" w:ascii="仿宋_GB2312" w:hAnsi="仿宋_GB2312" w:eastAsia="仿宋_GB2312" w:cs="仿宋_GB2312"/>
          <w:b w:val="0"/>
          <w:bCs/>
          <w:color w:val="auto"/>
          <w:spacing w:val="0"/>
          <w:kern w:val="2"/>
          <w:sz w:val="32"/>
          <w:szCs w:val="32"/>
          <w:highlight w:val="none"/>
          <w:u w:val="none"/>
          <w:lang w:val="en-US" w:eastAsia="zh-CN" w:bidi="ar-SA"/>
        </w:rPr>
        <w:t>主动融入黄河“几”字弯都市圈、呼包鄂榆城市群和呼包鄂乌协同发展区，用足用好区域发展政策和协作交流机制，加强农畜产品加工、能源等产业协作，积极发展泛口岸经济和“飞地经济”，推动全区产业链供应链与国内大市场深度融合，促进“过路经济”向“落地经济”转型。</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76" w:lineRule="exact"/>
        <w:ind w:right="0" w:firstLine="643" w:firstLineChars="200"/>
        <w:jc w:val="both"/>
        <w:textAlignment w:val="auto"/>
        <w:rPr>
          <w:rFonts w:hint="eastAsia" w:ascii="仿宋_GB2312" w:hAnsi="仿宋_GB2312" w:eastAsia="仿宋_GB2312" w:cs="仿宋_GB2312"/>
          <w:b w:val="0"/>
          <w:bCs/>
          <w:color w:val="auto"/>
          <w:spacing w:val="0"/>
          <w:sz w:val="32"/>
          <w:szCs w:val="32"/>
          <w:highlight w:val="none"/>
          <w:u w:val="none"/>
          <w:lang w:val="en-US" w:eastAsia="zh-CN"/>
        </w:rPr>
      </w:pPr>
      <w:r>
        <w:rPr>
          <w:rFonts w:hint="default" w:ascii="Times New Roman" w:hAnsi="Times New Roman" w:eastAsia="楷体_GB2312" w:cs="Times New Roman"/>
          <w:b/>
          <w:bCs/>
          <w:color w:val="auto"/>
          <w:spacing w:val="0"/>
          <w:sz w:val="32"/>
          <w:szCs w:val="32"/>
          <w:u w:val="none"/>
          <w:lang w:val="en-US" w:eastAsia="zh-CN"/>
        </w:rPr>
        <w:t>（七）</w:t>
      </w:r>
      <w:r>
        <w:rPr>
          <w:rFonts w:hint="default" w:ascii="Times New Roman" w:hAnsi="Times New Roman" w:eastAsia="楷体_GB2312" w:cs="Times New Roman"/>
          <w:b/>
          <w:bCs/>
          <w:color w:val="auto"/>
          <w:spacing w:val="0"/>
          <w:sz w:val="32"/>
          <w:szCs w:val="32"/>
          <w:u w:val="none"/>
          <w:lang w:val="en-US"/>
        </w:rPr>
        <w:t>倾</w:t>
      </w:r>
      <w:r>
        <w:rPr>
          <w:rFonts w:hint="default" w:ascii="Times New Roman" w:hAnsi="Times New Roman" w:eastAsia="楷体_GB2312" w:cs="Times New Roman"/>
          <w:b/>
          <w:bCs/>
          <w:color w:val="auto"/>
          <w:spacing w:val="0"/>
          <w:sz w:val="32"/>
          <w:szCs w:val="32"/>
          <w:u w:val="none"/>
          <w:lang w:val="en-US" w:eastAsia="zh-CN"/>
        </w:rPr>
        <w:t>力增进民生福祉，提高人民生活品质。</w:t>
      </w:r>
      <w:r>
        <w:rPr>
          <w:rFonts w:hint="eastAsia" w:ascii="仿宋_GB2312" w:hAnsi="仿宋_GB2312" w:eastAsia="仿宋_GB2312" w:cs="仿宋_GB2312"/>
          <w:b w:val="0"/>
          <w:bCs/>
          <w:color w:val="auto"/>
          <w:spacing w:val="0"/>
          <w:sz w:val="32"/>
          <w:szCs w:val="32"/>
          <w:highlight w:val="none"/>
          <w:u w:val="none"/>
          <w:lang w:val="en-US" w:eastAsia="zh-CN"/>
        </w:rPr>
        <w:t>坚持民生投入只增不减、惠民力度只强不弱、惠民实事只多不少，真正让人民群众的幸福生活在高质量发展中精彩绽放。</w:t>
      </w:r>
      <w:r>
        <w:rPr>
          <w:rFonts w:hint="eastAsia" w:ascii="仿宋_GB2312" w:hAnsi="仿宋_GB2312" w:eastAsia="仿宋_GB2312" w:cs="仿宋_GB2312"/>
          <w:b/>
          <w:bCs w:val="0"/>
          <w:color w:val="auto"/>
          <w:spacing w:val="0"/>
          <w:sz w:val="32"/>
          <w:szCs w:val="32"/>
          <w:highlight w:val="none"/>
          <w:u w:val="none"/>
          <w:lang w:val="en-US" w:eastAsia="zh-CN"/>
        </w:rPr>
        <w:t>持续抓好就业和人才工作。</w:t>
      </w:r>
      <w:r>
        <w:rPr>
          <w:rFonts w:hint="eastAsia" w:ascii="仿宋_GB2312" w:hAnsi="仿宋_GB2312" w:eastAsia="仿宋_GB2312" w:cs="仿宋_GB2312"/>
          <w:b w:val="0"/>
          <w:bCs/>
          <w:color w:val="auto"/>
          <w:spacing w:val="0"/>
          <w:sz w:val="32"/>
          <w:szCs w:val="32"/>
          <w:highlight w:val="none"/>
          <w:u w:val="none"/>
          <w:lang w:val="en-US" w:eastAsia="zh-CN"/>
        </w:rPr>
        <w:t>大力实施就业优先战略，全面落实就业创业各项优惠政策，新增城镇就业5000人、农村劳动力转移就业35000人、就业困难人员再就业1700人。继续加强高层次专业技术人才队伍、技能人才队伍建设，着力引进和培养一批临河经济社会发展需要的高素质人才，实现人才引得进、留得住、用得好。</w:t>
      </w:r>
      <w:r>
        <w:rPr>
          <w:rFonts w:hint="eastAsia" w:ascii="仿宋_GB2312" w:hAnsi="仿宋_GB2312" w:eastAsia="仿宋_GB2312" w:cs="仿宋_GB2312"/>
          <w:b/>
          <w:bCs w:val="0"/>
          <w:color w:val="auto"/>
          <w:spacing w:val="0"/>
          <w:sz w:val="32"/>
          <w:szCs w:val="32"/>
          <w:highlight w:val="none"/>
          <w:u w:val="none"/>
          <w:lang w:val="en-US" w:eastAsia="zh-CN"/>
        </w:rPr>
        <w:t>持续打造优质教育。</w:t>
      </w:r>
      <w:r>
        <w:rPr>
          <w:rFonts w:hint="eastAsia" w:ascii="仿宋_GB2312" w:hAnsi="仿宋_GB2312" w:eastAsia="仿宋_GB2312" w:cs="仿宋_GB2312"/>
          <w:b w:val="0"/>
          <w:bCs/>
          <w:color w:val="auto"/>
          <w:spacing w:val="0"/>
          <w:sz w:val="32"/>
          <w:szCs w:val="32"/>
          <w:highlight w:val="none"/>
          <w:u w:val="none"/>
          <w:lang w:val="en-US" w:eastAsia="zh-CN"/>
        </w:rPr>
        <w:t>扎实做好义务教育“双减”工作，全力创建义务教育优质均衡县。合理规划学校布局，选址建设明珠路学校和曙光中学，力争水源路治安幼儿园、水源路学校初中部教学楼等建成投用，积极推动市四中、市四小、市四幼建设。继续推行城乡学校联盟、大学区制管理体制改革，多渠道扩大普惠性学前教育资源，大力发展公办幼儿园，规范发展民办幼儿园。坚持高中多样化发展，全面打造临河一中教育品牌，持续推动临河三中、田家炳外国语学校特色课程建设。持之以恒落实提高教育教学质量系列举措，培养高素质教师队伍，公开招聘教师200名。规范校外培训机构，严厉打击隐形变异等违法违规培训行为，努力办好人民满意教育。</w:t>
      </w:r>
      <w:r>
        <w:rPr>
          <w:rFonts w:hint="eastAsia" w:ascii="仿宋_GB2312" w:hAnsi="仿宋_GB2312" w:eastAsia="仿宋_GB2312" w:cs="仿宋_GB2312"/>
          <w:b/>
          <w:bCs w:val="0"/>
          <w:color w:val="auto"/>
          <w:spacing w:val="0"/>
          <w:sz w:val="32"/>
          <w:szCs w:val="32"/>
          <w:highlight w:val="none"/>
          <w:u w:val="none"/>
          <w:lang w:val="en-US" w:eastAsia="zh-CN"/>
        </w:rPr>
        <w:t>持续加强健康临河建设。</w:t>
      </w:r>
      <w:r>
        <w:rPr>
          <w:rFonts w:hint="eastAsia" w:ascii="仿宋_GB2312" w:hAnsi="仿宋_GB2312" w:eastAsia="仿宋_GB2312" w:cs="仿宋_GB2312"/>
          <w:b w:val="0"/>
          <w:bCs/>
          <w:color w:val="auto"/>
          <w:spacing w:val="0"/>
          <w:sz w:val="32"/>
          <w:szCs w:val="32"/>
          <w:highlight w:val="none"/>
          <w:u w:val="none"/>
          <w:lang w:val="en-US" w:eastAsia="zh-CN"/>
        </w:rPr>
        <w:t>健全完善区乡村三级医疗服务体系，重点推进区人民医院“智慧医院”、东环办社区卫生服务中心迁址改造、康复医院搬迁置换、曙光乡卫生院医养结合等项目建设，全面提升公共卫生服务水平。持续推动公立医院改革，建立更加完善的现代医院管理制度。认真落实新冠病毒感染“乙类乙管”各项防控措施，以“保健康、防重症”为目标，发热门诊“应设尽设、应开尽开”，强化定点医院重症医疗资源准备，加快亚定点医院改造进度，发挥医共体牵头医院的作用，加强医护人员的培训，提高各级医疗机构救治能力，千方百计保障群众用药需求。实施“五级包联”措施，切实做好65岁以上重点人群、儿童、孕产妇、残疾人等群体的健康监测服务，有效提升农村地区防治工作水平，深入落实分级诊疗措施，关心关爱一线医护人员，确保疫情防控“迎峰转段”平稳有序，最大限度地保护人民群众的生命安全和身体健康。广泛开展爱国卫生运动，倡导健康生活方式，不断提高人民群众健康水平，巩固提升国家卫生城市创建成果，做好迎接复审验收准备工作。</w:t>
      </w:r>
      <w:r>
        <w:rPr>
          <w:rFonts w:hint="eastAsia" w:ascii="仿宋_GB2312" w:hAnsi="仿宋_GB2312" w:eastAsia="仿宋_GB2312" w:cs="仿宋_GB2312"/>
          <w:b/>
          <w:bCs w:val="0"/>
          <w:color w:val="auto"/>
          <w:spacing w:val="0"/>
          <w:sz w:val="32"/>
          <w:szCs w:val="32"/>
          <w:highlight w:val="none"/>
          <w:u w:val="none"/>
          <w:lang w:val="en-US" w:eastAsia="zh-CN"/>
        </w:rPr>
        <w:t>持续促进文化繁荣。</w:t>
      </w:r>
      <w:r>
        <w:rPr>
          <w:rFonts w:hint="eastAsia" w:ascii="仿宋_GB2312" w:hAnsi="仿宋_GB2312" w:eastAsia="仿宋_GB2312" w:cs="仿宋_GB2312"/>
          <w:b w:val="0"/>
          <w:bCs/>
          <w:color w:val="auto"/>
          <w:spacing w:val="0"/>
          <w:sz w:val="32"/>
          <w:szCs w:val="32"/>
          <w:highlight w:val="none"/>
          <w:u w:val="none"/>
          <w:lang w:val="en-US" w:eastAsia="zh-CN"/>
        </w:rPr>
        <w:t>拓展新时代文明实践中心建设，加强爱国主义教育基地建设管理。着力完善公共文化服务体系，创新实施文化下乡等惠民工程，扎实开展消夏艺术节、冰雪运动会等丰富多彩的群众文化活动。继续办好“农民丰收节”“年猪节”“广场舞大赛”等文化体育品牌活动；深入推进全民阅读，打造书香临河，培育发展数字文化产业。大力弘扬文明新风，推进移风易俗，积极开展“道德模范”“五好家庭”等文明创建活动，创建区级文明乡镇4个、文明村29个。</w:t>
      </w:r>
      <w:r>
        <w:rPr>
          <w:rFonts w:hint="eastAsia" w:ascii="仿宋_GB2312" w:hAnsi="仿宋_GB2312" w:eastAsia="仿宋_GB2312" w:cs="仿宋_GB2312"/>
          <w:b/>
          <w:bCs w:val="0"/>
          <w:color w:val="auto"/>
          <w:spacing w:val="0"/>
          <w:sz w:val="32"/>
          <w:szCs w:val="32"/>
          <w:highlight w:val="none"/>
          <w:u w:val="none"/>
          <w:lang w:val="en-US" w:eastAsia="zh-CN"/>
        </w:rPr>
        <w:t>持续提高社会保障水平。</w:t>
      </w:r>
      <w:r>
        <w:rPr>
          <w:rFonts w:hint="eastAsia" w:ascii="仿宋_GB2312" w:hAnsi="仿宋_GB2312" w:eastAsia="仿宋_GB2312" w:cs="仿宋_GB2312"/>
          <w:b w:val="0"/>
          <w:bCs/>
          <w:color w:val="auto"/>
          <w:spacing w:val="0"/>
          <w:sz w:val="32"/>
          <w:szCs w:val="32"/>
          <w:highlight w:val="none"/>
          <w:u w:val="none"/>
          <w:lang w:val="en-US" w:eastAsia="zh-CN"/>
        </w:rPr>
        <w:t>抓好城乡居民养老、基本医疗、失业、工伤等社会保险工作，力争实现应保尽保，切实兜牢困难群体民生保障网。强化各项社会救助制度统筹衔接，努力让每一位困难群众受助及时、求助有门。加强养老服务体系建设，启动区级养老服务中心建设，完善社区养老服务站点功能，不断满足群众多样化养老需求。加强退役军人和优抚对象服务保障，支持妇女儿童权益保护、志愿服务、公益慈善等社会事业全面发展，让全区人民的获得感幸福感明显增强。</w:t>
      </w:r>
      <w:r>
        <w:rPr>
          <w:rFonts w:hint="eastAsia" w:ascii="仿宋_GB2312" w:hAnsi="仿宋_GB2312" w:eastAsia="仿宋_GB2312" w:cs="仿宋_GB2312"/>
          <w:b/>
          <w:bCs w:val="0"/>
          <w:color w:val="auto"/>
          <w:spacing w:val="0"/>
          <w:sz w:val="32"/>
          <w:szCs w:val="32"/>
          <w:highlight w:val="none"/>
          <w:u w:val="none"/>
          <w:lang w:val="en-US" w:eastAsia="zh-CN"/>
        </w:rPr>
        <w:t>持续提升社会治理能力。</w:t>
      </w:r>
      <w:r>
        <w:rPr>
          <w:rFonts w:hint="eastAsia" w:ascii="仿宋_GB2312" w:hAnsi="仿宋_GB2312" w:eastAsia="仿宋_GB2312" w:cs="仿宋_GB2312"/>
          <w:b w:val="0"/>
          <w:bCs/>
          <w:color w:val="auto"/>
          <w:spacing w:val="0"/>
          <w:sz w:val="32"/>
          <w:szCs w:val="32"/>
          <w:highlight w:val="none"/>
          <w:u w:val="none"/>
          <w:lang w:val="en-US" w:eastAsia="zh-CN"/>
        </w:rPr>
        <w:t>有形有感有效做好铸牢中华民族共同体意识工作，促进各民族广泛交往、全面交流、深度交融。常态化推进扫黑除恶，严厉打击“黄赌毒”“食药环”“电信诈骗”等违法犯罪。加强未成年人法治和心理教育。全力防范化解重点领域安全风险隐患，统筹推进各类专项整治行动，努力提升自然灾害应对能力，全面构建“大安全，大应急，大减灾”工作格局，进一步加强应急体系建设，坚决杜绝重特大安全事故发生。认真落实《信访工作条例》，强化信访源头治理，确保社会大局和谐稳定。</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313" w:afterLines="100" w:afterAutospacing="0" w:line="576" w:lineRule="exact"/>
        <w:ind w:right="0"/>
        <w:jc w:val="center"/>
        <w:textAlignment w:val="auto"/>
        <w:rPr>
          <w:rFonts w:hint="eastAsia" w:ascii="黑体" w:hAnsi="黑体" w:eastAsia="黑体" w:cs="黑体"/>
          <w:b w:val="0"/>
          <w:bCs/>
          <w:color w:val="auto"/>
          <w:spacing w:val="0"/>
          <w:sz w:val="32"/>
          <w:szCs w:val="32"/>
          <w:highlight w:val="none"/>
          <w:u w:val="none"/>
          <w:lang w:val="en-US" w:eastAsia="zh-CN"/>
        </w:rPr>
      </w:pPr>
      <w:r>
        <w:rPr>
          <w:rFonts w:hint="eastAsia" w:ascii="黑体" w:hAnsi="黑体" w:eastAsia="黑体" w:cs="黑体"/>
          <w:b w:val="0"/>
          <w:bCs/>
          <w:color w:val="auto"/>
          <w:spacing w:val="0"/>
          <w:sz w:val="32"/>
          <w:szCs w:val="32"/>
          <w:highlight w:val="none"/>
          <w:u w:val="none"/>
          <w:lang w:val="en-US" w:eastAsia="zh-CN"/>
        </w:rPr>
        <w:t>三、</w:t>
      </w:r>
      <w:r>
        <w:rPr>
          <w:rFonts w:hint="eastAsia" w:ascii="黑体" w:hAnsi="黑体" w:eastAsia="黑体" w:cs="黑体"/>
          <w:b w:val="0"/>
          <w:bCs/>
          <w:color w:val="auto"/>
          <w:spacing w:val="0"/>
          <w:sz w:val="32"/>
          <w:szCs w:val="32"/>
          <w:highlight w:val="none"/>
          <w:u w:val="none"/>
          <w:lang w:val="en-US"/>
        </w:rPr>
        <w:t>加强</w:t>
      </w:r>
      <w:r>
        <w:rPr>
          <w:rFonts w:hint="eastAsia" w:ascii="黑体" w:hAnsi="黑体" w:eastAsia="黑体" w:cs="黑体"/>
          <w:b w:val="0"/>
          <w:bCs/>
          <w:color w:val="auto"/>
          <w:spacing w:val="0"/>
          <w:sz w:val="32"/>
          <w:szCs w:val="32"/>
          <w:highlight w:val="none"/>
          <w:u w:val="none"/>
          <w:lang w:val="en-US" w:eastAsia="zh-CN"/>
        </w:rPr>
        <w:t>政府自身建设</w:t>
      </w:r>
    </w:p>
    <w:p>
      <w:pPr>
        <w:pStyle w:val="5"/>
        <w:keepNext w:val="0"/>
        <w:keepLines w:val="0"/>
        <w:pageBreakBefore w:val="0"/>
        <w:widowControl w:val="0"/>
        <w:kinsoku/>
        <w:wordWrap/>
        <w:overflowPunct/>
        <w:topLinePunct w:val="0"/>
        <w:autoSpaceDE/>
        <w:autoSpaceDN/>
        <w:bidi w:val="0"/>
        <w:adjustRightInd/>
        <w:spacing w:line="576" w:lineRule="exact"/>
        <w:ind w:firstLine="640" w:firstLineChars="200"/>
        <w:rPr>
          <w:rFonts w:hint="eastAsia" w:ascii="仿宋_GB2312" w:hAnsi="仿宋_GB2312" w:eastAsia="仿宋_GB2312" w:cs="仿宋_GB2312"/>
          <w:b w:val="0"/>
          <w:bCs/>
          <w:color w:val="auto"/>
          <w:spacing w:val="0"/>
          <w:sz w:val="32"/>
          <w:szCs w:val="32"/>
          <w:highlight w:val="none"/>
          <w:u w:val="none"/>
          <w:lang w:val="en-US"/>
        </w:rPr>
      </w:pPr>
      <w:r>
        <w:rPr>
          <w:rFonts w:hint="eastAsia" w:ascii="仿宋_GB2312" w:hAnsi="仿宋_GB2312" w:eastAsia="仿宋_GB2312" w:cs="仿宋_GB2312"/>
          <w:b w:val="0"/>
          <w:bCs/>
          <w:color w:val="auto"/>
          <w:spacing w:val="0"/>
          <w:sz w:val="32"/>
          <w:szCs w:val="32"/>
          <w:highlight w:val="none"/>
          <w:u w:val="none"/>
          <w:lang w:val="en-US" w:eastAsia="zh-CN"/>
        </w:rPr>
        <w:t>面对临河</w:t>
      </w:r>
      <w:r>
        <w:rPr>
          <w:rFonts w:hint="eastAsia" w:ascii="仿宋_GB2312" w:hAnsi="仿宋_GB2312" w:eastAsia="仿宋_GB2312" w:cs="仿宋_GB2312"/>
          <w:b w:val="0"/>
          <w:bCs/>
          <w:color w:val="auto"/>
          <w:spacing w:val="0"/>
          <w:sz w:val="32"/>
          <w:szCs w:val="32"/>
          <w:highlight w:val="none"/>
          <w:u w:val="none"/>
          <w:lang w:val="en-US"/>
        </w:rPr>
        <w:t>绿色</w:t>
      </w:r>
      <w:r>
        <w:rPr>
          <w:rFonts w:hint="eastAsia" w:ascii="仿宋_GB2312" w:hAnsi="仿宋_GB2312" w:eastAsia="仿宋_GB2312" w:cs="仿宋_GB2312"/>
          <w:b w:val="0"/>
          <w:bCs/>
          <w:color w:val="auto"/>
          <w:spacing w:val="0"/>
          <w:sz w:val="32"/>
          <w:szCs w:val="32"/>
          <w:highlight w:val="none"/>
          <w:u w:val="none"/>
          <w:lang w:val="en-US" w:eastAsia="zh-CN"/>
        </w:rPr>
        <w:t>高质量发展的历史重任，</w:t>
      </w:r>
      <w:r>
        <w:rPr>
          <w:rFonts w:hint="eastAsia" w:ascii="仿宋_GB2312" w:hAnsi="仿宋_GB2312" w:eastAsia="仿宋_GB2312" w:cs="仿宋_GB2312"/>
          <w:b w:val="0"/>
          <w:bCs/>
          <w:color w:val="auto"/>
          <w:spacing w:val="0"/>
          <w:sz w:val="32"/>
          <w:szCs w:val="32"/>
          <w:highlight w:val="none"/>
          <w:u w:val="none"/>
          <w:lang w:val="en-US"/>
        </w:rPr>
        <w:t>我们</w:t>
      </w:r>
      <w:r>
        <w:rPr>
          <w:rFonts w:hint="eastAsia" w:ascii="仿宋_GB2312" w:hAnsi="仿宋_GB2312" w:eastAsia="仿宋_GB2312" w:cs="仿宋_GB2312"/>
          <w:b w:val="0"/>
          <w:bCs/>
          <w:color w:val="auto"/>
          <w:spacing w:val="0"/>
          <w:sz w:val="32"/>
          <w:szCs w:val="32"/>
          <w:highlight w:val="none"/>
          <w:u w:val="none"/>
          <w:lang w:val="en-US" w:eastAsia="zh-CN"/>
        </w:rPr>
        <w:t>将</w:t>
      </w:r>
      <w:r>
        <w:rPr>
          <w:rFonts w:hint="eastAsia" w:ascii="仿宋_GB2312" w:hAnsi="仿宋_GB2312" w:eastAsia="仿宋_GB2312" w:cs="仿宋_GB2312"/>
          <w:b w:val="0"/>
          <w:bCs/>
          <w:color w:val="auto"/>
          <w:spacing w:val="0"/>
          <w:sz w:val="32"/>
          <w:szCs w:val="32"/>
          <w:highlight w:val="none"/>
          <w:u w:val="none"/>
          <w:lang w:val="en-US"/>
        </w:rPr>
        <w:t>把</w:t>
      </w:r>
      <w:r>
        <w:rPr>
          <w:rFonts w:hint="eastAsia" w:ascii="仿宋_GB2312" w:hAnsi="仿宋_GB2312" w:eastAsia="仿宋_GB2312" w:cs="仿宋_GB2312"/>
          <w:b w:val="0"/>
          <w:bCs/>
          <w:color w:val="auto"/>
          <w:spacing w:val="0"/>
          <w:sz w:val="32"/>
          <w:szCs w:val="32"/>
          <w:highlight w:val="none"/>
          <w:u w:val="none"/>
          <w:lang w:val="en-US" w:eastAsia="zh-CN"/>
        </w:rPr>
        <w:t>担当作为、狠抓落实</w:t>
      </w:r>
      <w:r>
        <w:rPr>
          <w:rFonts w:hint="eastAsia" w:ascii="仿宋_GB2312" w:hAnsi="仿宋_GB2312" w:eastAsia="仿宋_GB2312" w:cs="仿宋_GB2312"/>
          <w:b w:val="0"/>
          <w:bCs/>
          <w:color w:val="auto"/>
          <w:spacing w:val="0"/>
          <w:sz w:val="32"/>
          <w:szCs w:val="32"/>
          <w:highlight w:val="none"/>
          <w:u w:val="none"/>
          <w:lang w:val="en-US"/>
        </w:rPr>
        <w:t>为主题的</w:t>
      </w:r>
      <w:r>
        <w:rPr>
          <w:rFonts w:hint="eastAsia" w:ascii="仿宋_GB2312" w:hAnsi="仿宋_GB2312" w:eastAsia="仿宋_GB2312" w:cs="仿宋_GB2312"/>
          <w:b w:val="0"/>
          <w:bCs/>
          <w:color w:val="auto"/>
          <w:spacing w:val="0"/>
          <w:sz w:val="32"/>
          <w:szCs w:val="32"/>
          <w:highlight w:val="none"/>
          <w:u w:val="none"/>
          <w:lang w:val="en-US" w:eastAsia="zh-CN"/>
        </w:rPr>
        <w:t>“</w:t>
      </w:r>
      <w:r>
        <w:rPr>
          <w:rFonts w:hint="eastAsia" w:ascii="仿宋_GB2312" w:hAnsi="仿宋_GB2312" w:eastAsia="仿宋_GB2312" w:cs="仿宋_GB2312"/>
          <w:b w:val="0"/>
          <w:bCs/>
          <w:color w:val="auto"/>
          <w:spacing w:val="0"/>
          <w:sz w:val="32"/>
          <w:szCs w:val="32"/>
          <w:highlight w:val="none"/>
          <w:u w:val="none"/>
          <w:lang w:val="en-US"/>
        </w:rPr>
        <w:t>五大行动”作</w:t>
      </w:r>
      <w:r>
        <w:rPr>
          <w:rFonts w:hint="eastAsia" w:ascii="仿宋_GB2312" w:hAnsi="仿宋_GB2312" w:eastAsia="仿宋_GB2312" w:cs="仿宋_GB2312"/>
          <w:b w:val="0"/>
          <w:bCs/>
          <w:color w:val="auto"/>
          <w:spacing w:val="0"/>
          <w:sz w:val="32"/>
          <w:szCs w:val="32"/>
          <w:highlight w:val="none"/>
          <w:u w:val="none"/>
          <w:lang w:val="en-US" w:eastAsia="zh-CN"/>
        </w:rPr>
        <w:t>为</w:t>
      </w:r>
      <w:r>
        <w:rPr>
          <w:rFonts w:hint="eastAsia" w:ascii="仿宋_GB2312" w:hAnsi="仿宋_GB2312" w:eastAsia="仿宋_GB2312" w:cs="仿宋_GB2312"/>
          <w:b w:val="0"/>
          <w:bCs/>
          <w:color w:val="auto"/>
          <w:spacing w:val="0"/>
          <w:sz w:val="32"/>
          <w:szCs w:val="32"/>
          <w:highlight w:val="none"/>
          <w:u w:val="none"/>
          <w:lang w:val="en-US"/>
        </w:rPr>
        <w:t>重中之重，</w:t>
      </w:r>
      <w:r>
        <w:rPr>
          <w:rFonts w:hint="eastAsia" w:ascii="仿宋_GB2312" w:hAnsi="仿宋_GB2312" w:eastAsia="仿宋_GB2312" w:cs="仿宋_GB2312"/>
          <w:b w:val="0"/>
          <w:bCs/>
          <w:color w:val="auto"/>
          <w:spacing w:val="0"/>
          <w:sz w:val="32"/>
          <w:szCs w:val="32"/>
          <w:highlight w:val="none"/>
          <w:u w:val="none"/>
          <w:lang w:val="en-US" w:eastAsia="zh-CN"/>
        </w:rPr>
        <w:t>以“赶考”和“无我”的精神状态，全力以赴抓贯彻、抓执行、抓推进、抓见效，切实推动经济社会高质量发展</w:t>
      </w:r>
      <w:r>
        <w:rPr>
          <w:rFonts w:hint="eastAsia" w:ascii="仿宋_GB2312" w:hAnsi="仿宋_GB2312" w:eastAsia="仿宋_GB2312" w:cs="仿宋_GB2312"/>
          <w:b w:val="0"/>
          <w:bCs/>
          <w:color w:val="auto"/>
          <w:spacing w:val="0"/>
          <w:sz w:val="32"/>
          <w:szCs w:val="32"/>
          <w:highlight w:val="none"/>
          <w:u w:val="none"/>
          <w:lang w:val="en-US"/>
        </w:rPr>
        <w:t>。</w:t>
      </w:r>
    </w:p>
    <w:p>
      <w:pPr>
        <w:pStyle w:val="5"/>
        <w:keepNext w:val="0"/>
        <w:keepLines w:val="0"/>
        <w:pageBreakBefore w:val="0"/>
        <w:widowControl w:val="0"/>
        <w:kinsoku/>
        <w:wordWrap/>
        <w:overflowPunct/>
        <w:topLinePunct w:val="0"/>
        <w:autoSpaceDE/>
        <w:autoSpaceDN/>
        <w:bidi w:val="0"/>
        <w:adjustRightInd/>
        <w:spacing w:line="576" w:lineRule="exact"/>
        <w:ind w:firstLine="643" w:firstLineChars="200"/>
        <w:rPr>
          <w:rFonts w:hint="eastAsia" w:ascii="仿宋_GB2312" w:hAnsi="仿宋_GB2312" w:eastAsia="仿宋_GB2312" w:cs="仿宋_GB2312"/>
          <w:b w:val="0"/>
          <w:bCs/>
          <w:color w:val="auto"/>
          <w:spacing w:val="0"/>
          <w:sz w:val="32"/>
          <w:szCs w:val="32"/>
          <w:highlight w:val="none"/>
          <w:u w:val="none"/>
          <w:lang w:val="en-US"/>
        </w:rPr>
      </w:pPr>
      <w:r>
        <w:rPr>
          <w:rFonts w:hint="default" w:ascii="Times New Roman" w:hAnsi="Times New Roman" w:eastAsia="楷体_GB2312" w:cs="Times New Roman"/>
          <w:b/>
          <w:bCs/>
          <w:color w:val="auto"/>
          <w:spacing w:val="0"/>
          <w:kern w:val="0"/>
          <w:sz w:val="32"/>
          <w:szCs w:val="32"/>
          <w:u w:val="none"/>
          <w:lang w:val="en-US"/>
        </w:rPr>
        <w:t>提高站位抓落实。</w:t>
      </w:r>
      <w:r>
        <w:rPr>
          <w:rFonts w:hint="eastAsia" w:ascii="仿宋_GB2312" w:hAnsi="仿宋_GB2312" w:eastAsia="仿宋_GB2312" w:cs="仿宋_GB2312"/>
          <w:b w:val="0"/>
          <w:bCs/>
          <w:color w:val="auto"/>
          <w:spacing w:val="0"/>
          <w:sz w:val="32"/>
          <w:szCs w:val="32"/>
          <w:highlight w:val="none"/>
          <w:u w:val="none"/>
          <w:lang w:val="en-US"/>
        </w:rPr>
        <w:t>始终</w:t>
      </w:r>
      <w:r>
        <w:rPr>
          <w:rFonts w:hint="eastAsia" w:ascii="仿宋_GB2312" w:hAnsi="仿宋_GB2312" w:eastAsia="仿宋_GB2312" w:cs="仿宋_GB2312"/>
          <w:b w:val="0"/>
          <w:bCs/>
          <w:color w:val="auto"/>
          <w:spacing w:val="0"/>
          <w:sz w:val="32"/>
          <w:szCs w:val="32"/>
          <w:highlight w:val="none"/>
          <w:u w:val="none"/>
          <w:lang w:val="en-US" w:eastAsia="zh-CN"/>
        </w:rPr>
        <w:t>坚持以习近平新时代中国特色社会主义思想</w:t>
      </w:r>
      <w:r>
        <w:rPr>
          <w:rFonts w:hint="eastAsia" w:ascii="仿宋_GB2312" w:hAnsi="仿宋_GB2312" w:eastAsia="仿宋_GB2312" w:cs="仿宋_GB2312"/>
          <w:b w:val="0"/>
          <w:bCs/>
          <w:color w:val="auto"/>
          <w:spacing w:val="0"/>
          <w:sz w:val="32"/>
          <w:szCs w:val="32"/>
          <w:highlight w:val="none"/>
          <w:u w:val="none"/>
          <w:lang w:val="en-US"/>
        </w:rPr>
        <w:t>为</w:t>
      </w:r>
      <w:r>
        <w:rPr>
          <w:rFonts w:hint="eastAsia" w:ascii="仿宋_GB2312" w:hAnsi="仿宋_GB2312" w:eastAsia="仿宋_GB2312" w:cs="仿宋_GB2312"/>
          <w:b w:val="0"/>
          <w:bCs/>
          <w:color w:val="auto"/>
          <w:spacing w:val="0"/>
          <w:sz w:val="32"/>
          <w:szCs w:val="32"/>
          <w:highlight w:val="none"/>
          <w:u w:val="none"/>
          <w:lang w:val="en-US" w:eastAsia="zh-CN"/>
        </w:rPr>
        <w:t>指</w:t>
      </w:r>
      <w:r>
        <w:rPr>
          <w:rFonts w:hint="eastAsia" w:ascii="仿宋_GB2312" w:hAnsi="仿宋_GB2312" w:eastAsia="仿宋_GB2312" w:cs="仿宋_GB2312"/>
          <w:b w:val="0"/>
          <w:bCs/>
          <w:color w:val="auto"/>
          <w:spacing w:val="0"/>
          <w:sz w:val="32"/>
          <w:szCs w:val="32"/>
          <w:highlight w:val="none"/>
          <w:u w:val="none"/>
          <w:lang w:val="en-US"/>
        </w:rPr>
        <w:t>引，把</w:t>
      </w:r>
      <w:r>
        <w:rPr>
          <w:rFonts w:hint="eastAsia" w:ascii="仿宋_GB2312" w:hAnsi="仿宋_GB2312" w:eastAsia="仿宋_GB2312" w:cs="仿宋_GB2312"/>
          <w:b w:val="0"/>
          <w:bCs/>
          <w:color w:val="auto"/>
          <w:spacing w:val="0"/>
          <w:sz w:val="32"/>
          <w:szCs w:val="32"/>
          <w:highlight w:val="none"/>
          <w:u w:val="none"/>
          <w:lang w:val="en-US" w:eastAsia="zh-CN"/>
        </w:rPr>
        <w:t>学习宣传贯彻好党的二十大精神</w:t>
      </w:r>
      <w:r>
        <w:rPr>
          <w:rFonts w:hint="eastAsia" w:ascii="仿宋_GB2312" w:hAnsi="仿宋_GB2312" w:eastAsia="仿宋_GB2312" w:cs="仿宋_GB2312"/>
          <w:b w:val="0"/>
          <w:bCs/>
          <w:color w:val="auto"/>
          <w:spacing w:val="0"/>
          <w:sz w:val="32"/>
          <w:szCs w:val="32"/>
          <w:highlight w:val="none"/>
          <w:u w:val="none"/>
          <w:lang w:val="en-US"/>
        </w:rPr>
        <w:t>作为</w:t>
      </w:r>
      <w:r>
        <w:rPr>
          <w:rFonts w:hint="eastAsia" w:ascii="仿宋_GB2312" w:hAnsi="仿宋_GB2312" w:eastAsia="仿宋_GB2312" w:cs="仿宋_GB2312"/>
          <w:b w:val="0"/>
          <w:bCs/>
          <w:color w:val="auto"/>
          <w:spacing w:val="0"/>
          <w:sz w:val="32"/>
          <w:szCs w:val="32"/>
          <w:highlight w:val="none"/>
          <w:u w:val="none"/>
          <w:lang w:val="en-US" w:eastAsia="zh-CN"/>
        </w:rPr>
        <w:t>当前和今后一个时期的首要政治任务</w:t>
      </w:r>
      <w:r>
        <w:rPr>
          <w:rFonts w:hint="eastAsia" w:ascii="仿宋_GB2312" w:hAnsi="仿宋_GB2312" w:eastAsia="仿宋_GB2312" w:cs="仿宋_GB2312"/>
          <w:b w:val="0"/>
          <w:bCs/>
          <w:color w:val="auto"/>
          <w:spacing w:val="0"/>
          <w:sz w:val="32"/>
          <w:szCs w:val="32"/>
          <w:highlight w:val="none"/>
          <w:u w:val="none"/>
          <w:lang w:val="en-US"/>
        </w:rPr>
        <w:t>，</w:t>
      </w:r>
      <w:r>
        <w:rPr>
          <w:rFonts w:hint="eastAsia" w:ascii="仿宋_GB2312" w:hAnsi="仿宋_GB2312" w:eastAsia="仿宋_GB2312" w:cs="仿宋_GB2312"/>
          <w:b w:val="0"/>
          <w:bCs/>
          <w:color w:val="auto"/>
          <w:spacing w:val="0"/>
          <w:sz w:val="32"/>
          <w:szCs w:val="32"/>
          <w:highlight w:val="none"/>
          <w:u w:val="none"/>
          <w:lang w:val="en-US" w:eastAsia="zh-CN"/>
        </w:rPr>
        <w:t>把坚决拥护“两个确立”、做到“两个维护”作为最大的政治，最大的大局、最大的“国之大者”，始终在思想上政治上行动上同以习近平同志为核心的党中央保持高度一致。把思想淬炼、政治历练、专业训练有机融合</w:t>
      </w:r>
      <w:r>
        <w:rPr>
          <w:rFonts w:hint="eastAsia" w:ascii="仿宋_GB2312" w:hAnsi="仿宋_GB2312" w:eastAsia="仿宋_GB2312" w:cs="仿宋_GB2312"/>
          <w:b w:val="0"/>
          <w:bCs/>
          <w:color w:val="auto"/>
          <w:spacing w:val="0"/>
          <w:sz w:val="32"/>
          <w:szCs w:val="32"/>
          <w:highlight w:val="none"/>
          <w:u w:val="none"/>
          <w:lang w:val="en-US"/>
        </w:rPr>
        <w:t>，</w:t>
      </w:r>
      <w:r>
        <w:rPr>
          <w:rFonts w:hint="eastAsia" w:ascii="仿宋_GB2312" w:hAnsi="仿宋_GB2312" w:eastAsia="仿宋_GB2312" w:cs="仿宋_GB2312"/>
          <w:b w:val="0"/>
          <w:bCs/>
          <w:color w:val="auto"/>
          <w:spacing w:val="0"/>
          <w:sz w:val="32"/>
          <w:szCs w:val="32"/>
          <w:highlight w:val="none"/>
          <w:u w:val="none"/>
          <w:lang w:val="en-US" w:eastAsia="zh-CN"/>
        </w:rPr>
        <w:t>教育引导干部不断拓展思路、创新方法、提升能力，坚定不移贯彻落实区委重大决策部署，确保政令畅通、步调一致</w:t>
      </w:r>
      <w:r>
        <w:rPr>
          <w:rFonts w:hint="eastAsia" w:ascii="仿宋_GB2312" w:hAnsi="仿宋_GB2312" w:eastAsia="仿宋_GB2312" w:cs="仿宋_GB2312"/>
          <w:b w:val="0"/>
          <w:bCs/>
          <w:color w:val="auto"/>
          <w:spacing w:val="0"/>
          <w:sz w:val="32"/>
          <w:szCs w:val="32"/>
          <w:highlight w:val="none"/>
          <w:u w:val="none"/>
          <w:lang w:val="en-US"/>
        </w:rPr>
        <w:t>，</w:t>
      </w:r>
      <w:r>
        <w:rPr>
          <w:rFonts w:hint="eastAsia" w:ascii="仿宋_GB2312" w:hAnsi="仿宋_GB2312" w:eastAsia="仿宋_GB2312" w:cs="仿宋_GB2312"/>
          <w:b w:val="0"/>
          <w:bCs/>
          <w:color w:val="auto"/>
          <w:spacing w:val="0"/>
          <w:sz w:val="32"/>
          <w:szCs w:val="32"/>
          <w:highlight w:val="none"/>
          <w:u w:val="none"/>
          <w:lang w:val="en-US" w:eastAsia="zh-CN"/>
        </w:rPr>
        <w:t>在工作实践中提升</w:t>
      </w:r>
      <w:r>
        <w:rPr>
          <w:rFonts w:hint="eastAsia" w:ascii="仿宋_GB2312" w:hAnsi="仿宋_GB2312" w:eastAsia="仿宋_GB2312" w:cs="仿宋_GB2312"/>
          <w:b w:val="0"/>
          <w:bCs/>
          <w:color w:val="auto"/>
          <w:spacing w:val="0"/>
          <w:sz w:val="32"/>
          <w:szCs w:val="32"/>
          <w:highlight w:val="none"/>
          <w:u w:val="none"/>
          <w:lang w:val="en-US"/>
        </w:rPr>
        <w:t>“政治三力”</w:t>
      </w:r>
      <w:r>
        <w:rPr>
          <w:rFonts w:hint="eastAsia" w:ascii="仿宋_GB2312" w:hAnsi="仿宋_GB2312" w:eastAsia="仿宋_GB2312" w:cs="仿宋_GB2312"/>
          <w:b w:val="0"/>
          <w:bCs/>
          <w:color w:val="auto"/>
          <w:spacing w:val="0"/>
          <w:sz w:val="32"/>
          <w:szCs w:val="32"/>
          <w:highlight w:val="none"/>
          <w:u w:val="none"/>
          <w:lang w:val="en-US" w:eastAsia="zh-CN"/>
        </w:rPr>
        <w:t>的实效性</w:t>
      </w:r>
      <w:r>
        <w:rPr>
          <w:rFonts w:hint="eastAsia" w:ascii="仿宋_GB2312" w:hAnsi="仿宋_GB2312" w:eastAsia="仿宋_GB2312" w:cs="仿宋_GB2312"/>
          <w:b w:val="0"/>
          <w:bCs/>
          <w:color w:val="auto"/>
          <w:spacing w:val="0"/>
          <w:sz w:val="32"/>
          <w:szCs w:val="32"/>
          <w:highlight w:val="none"/>
          <w:u w:val="none"/>
          <w:lang w:val="en-US"/>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val="0"/>
          <w:bCs/>
          <w:color w:val="auto"/>
          <w:spacing w:val="0"/>
          <w:sz w:val="32"/>
          <w:szCs w:val="32"/>
          <w:highlight w:val="none"/>
          <w:u w:val="none"/>
          <w:lang w:val="en-US" w:eastAsia="zh-CN"/>
        </w:rPr>
      </w:pPr>
      <w:r>
        <w:rPr>
          <w:rFonts w:hint="default" w:ascii="Times New Roman" w:hAnsi="Times New Roman" w:eastAsia="楷体_GB2312" w:cs="Times New Roman"/>
          <w:b/>
          <w:bCs/>
          <w:color w:val="auto"/>
          <w:spacing w:val="0"/>
          <w:kern w:val="0"/>
          <w:sz w:val="32"/>
          <w:szCs w:val="32"/>
          <w:u w:val="none"/>
          <w:lang w:val="en-US" w:eastAsia="zh-CN"/>
        </w:rPr>
        <w:t>依法行政</w:t>
      </w:r>
      <w:r>
        <w:rPr>
          <w:rFonts w:hint="default" w:ascii="Times New Roman" w:hAnsi="Times New Roman" w:eastAsia="楷体_GB2312" w:cs="Times New Roman"/>
          <w:b/>
          <w:bCs/>
          <w:color w:val="auto"/>
          <w:spacing w:val="0"/>
          <w:kern w:val="0"/>
          <w:sz w:val="32"/>
          <w:szCs w:val="32"/>
          <w:u w:val="none"/>
          <w:lang w:val="en-US"/>
        </w:rPr>
        <w:t>抓落实</w:t>
      </w:r>
      <w:r>
        <w:rPr>
          <w:rFonts w:hint="default" w:ascii="Times New Roman" w:hAnsi="Times New Roman" w:eastAsia="楷体_GB2312" w:cs="Times New Roman"/>
          <w:b/>
          <w:bCs/>
          <w:color w:val="auto"/>
          <w:spacing w:val="0"/>
          <w:kern w:val="0"/>
          <w:sz w:val="32"/>
          <w:szCs w:val="32"/>
          <w:u w:val="none"/>
          <w:lang w:val="en-US" w:eastAsia="zh-CN"/>
        </w:rPr>
        <w:t>。</w:t>
      </w:r>
      <w:r>
        <w:rPr>
          <w:rFonts w:hint="eastAsia" w:ascii="仿宋_GB2312" w:hAnsi="仿宋_GB2312" w:eastAsia="仿宋_GB2312" w:cs="仿宋_GB2312"/>
          <w:b w:val="0"/>
          <w:bCs/>
          <w:color w:val="auto"/>
          <w:spacing w:val="0"/>
          <w:sz w:val="32"/>
          <w:szCs w:val="32"/>
          <w:highlight w:val="none"/>
          <w:u w:val="none"/>
          <w:lang w:val="en-US" w:eastAsia="zh-CN"/>
        </w:rPr>
        <w:t>深学笃用习近平法治思想，不断提高运用法治思维和法治方式解决问题的能力和水平</w:t>
      </w:r>
      <w:r>
        <w:rPr>
          <w:rFonts w:hint="eastAsia" w:ascii="仿宋_GB2312" w:hAnsi="仿宋_GB2312" w:eastAsia="仿宋_GB2312" w:cs="仿宋_GB2312"/>
          <w:b w:val="0"/>
          <w:bCs/>
          <w:color w:val="auto"/>
          <w:spacing w:val="0"/>
          <w:sz w:val="32"/>
          <w:szCs w:val="32"/>
          <w:highlight w:val="none"/>
          <w:u w:val="none"/>
          <w:lang w:val="en-US"/>
        </w:rPr>
        <w:t>，</w:t>
      </w:r>
      <w:r>
        <w:rPr>
          <w:rFonts w:hint="eastAsia" w:ascii="仿宋_GB2312" w:hAnsi="仿宋_GB2312" w:eastAsia="仿宋_GB2312" w:cs="仿宋_GB2312"/>
          <w:b w:val="0"/>
          <w:bCs/>
          <w:color w:val="auto"/>
          <w:spacing w:val="0"/>
          <w:kern w:val="2"/>
          <w:sz w:val="32"/>
          <w:szCs w:val="32"/>
          <w:highlight w:val="none"/>
          <w:u w:val="none"/>
          <w:lang w:val="en-US" w:eastAsia="zh-CN" w:bidi="ar-SA"/>
        </w:rPr>
        <w:t>全面推进严格执法、公正司法、全民守法</w:t>
      </w:r>
      <w:r>
        <w:rPr>
          <w:rFonts w:hint="eastAsia" w:ascii="仿宋_GB2312" w:hAnsi="仿宋_GB2312" w:eastAsia="仿宋_GB2312" w:cs="仿宋_GB2312"/>
          <w:b w:val="0"/>
          <w:bCs/>
          <w:color w:val="auto"/>
          <w:spacing w:val="0"/>
          <w:sz w:val="32"/>
          <w:szCs w:val="32"/>
          <w:highlight w:val="none"/>
          <w:u w:val="none"/>
          <w:lang w:val="en-US" w:eastAsia="zh-CN"/>
        </w:rPr>
        <w:t>，</w:t>
      </w:r>
      <w:r>
        <w:rPr>
          <w:rFonts w:hint="eastAsia" w:ascii="仿宋_GB2312" w:hAnsi="仿宋_GB2312" w:eastAsia="仿宋_GB2312" w:cs="仿宋_GB2312"/>
          <w:b w:val="0"/>
          <w:bCs/>
          <w:color w:val="auto"/>
          <w:spacing w:val="0"/>
          <w:kern w:val="2"/>
          <w:sz w:val="32"/>
          <w:szCs w:val="32"/>
          <w:highlight w:val="none"/>
          <w:u w:val="none"/>
          <w:lang w:val="en-US" w:eastAsia="zh-CN" w:bidi="ar-SA"/>
        </w:rPr>
        <w:t>在新发展阶段持续深入推进依法行政。</w:t>
      </w:r>
      <w:r>
        <w:rPr>
          <w:rFonts w:hint="eastAsia" w:ascii="仿宋_GB2312" w:hAnsi="仿宋_GB2312" w:eastAsia="仿宋_GB2312" w:cs="仿宋_GB2312"/>
          <w:b w:val="0"/>
          <w:bCs/>
          <w:color w:val="auto"/>
          <w:spacing w:val="0"/>
          <w:sz w:val="32"/>
          <w:szCs w:val="32"/>
          <w:highlight w:val="none"/>
          <w:u w:val="none"/>
          <w:lang w:val="en-US" w:eastAsia="zh-CN"/>
        </w:rPr>
        <w:t>严格执行民主集中制和“三重一大”决策机制，深入推行政务公开，自觉接受人大法律监督</w:t>
      </w:r>
      <w:r>
        <w:rPr>
          <w:rFonts w:hint="eastAsia" w:ascii="仿宋_GB2312" w:hAnsi="仿宋_GB2312" w:eastAsia="仿宋_GB2312" w:cs="仿宋_GB2312"/>
          <w:b w:val="0"/>
          <w:bCs/>
          <w:color w:val="auto"/>
          <w:spacing w:val="0"/>
          <w:sz w:val="32"/>
          <w:szCs w:val="32"/>
          <w:highlight w:val="none"/>
          <w:u w:val="none"/>
          <w:lang w:val="en-US"/>
        </w:rPr>
        <w:t>和工作监督</w:t>
      </w:r>
      <w:r>
        <w:rPr>
          <w:rFonts w:hint="eastAsia" w:ascii="仿宋_GB2312" w:hAnsi="仿宋_GB2312" w:eastAsia="仿宋_GB2312" w:cs="仿宋_GB2312"/>
          <w:b w:val="0"/>
          <w:bCs/>
          <w:color w:val="auto"/>
          <w:spacing w:val="0"/>
          <w:sz w:val="32"/>
          <w:szCs w:val="32"/>
          <w:highlight w:val="none"/>
          <w:u w:val="none"/>
          <w:lang w:val="en-US" w:eastAsia="zh-CN"/>
        </w:rPr>
        <w:t>、政协民主监督、主动接受社会和舆论监督，建设更加公开透明的阳光政府。</w:t>
      </w:r>
    </w:p>
    <w:p>
      <w:pPr>
        <w:keepNext w:val="0"/>
        <w:keepLines w:val="0"/>
        <w:pageBreakBefore w:val="0"/>
        <w:widowControl w:val="0"/>
        <w:kinsoku/>
        <w:wordWrap/>
        <w:overflowPunct/>
        <w:topLinePunct w:val="0"/>
        <w:autoSpaceDE/>
        <w:autoSpaceDN/>
        <w:bidi w:val="0"/>
        <w:adjustRightInd/>
        <w:spacing w:line="576" w:lineRule="exact"/>
        <w:ind w:firstLine="643" w:firstLineChars="200"/>
        <w:jc w:val="both"/>
        <w:rPr>
          <w:rFonts w:hint="eastAsia" w:ascii="仿宋_GB2312" w:hAnsi="仿宋_GB2312" w:eastAsia="仿宋_GB2312" w:cs="仿宋_GB2312"/>
          <w:b w:val="0"/>
          <w:bCs/>
          <w:color w:val="auto"/>
          <w:spacing w:val="0"/>
          <w:kern w:val="2"/>
          <w:sz w:val="32"/>
          <w:szCs w:val="32"/>
          <w:highlight w:val="none"/>
          <w:u w:val="none"/>
          <w:lang w:val="en-US" w:eastAsia="zh-CN" w:bidi="ar-SA"/>
        </w:rPr>
      </w:pPr>
      <w:r>
        <w:rPr>
          <w:rFonts w:hint="default" w:ascii="Times New Roman" w:hAnsi="Times New Roman" w:eastAsia="楷体_GB2312" w:cs="Times New Roman"/>
          <w:b/>
          <w:bCs/>
          <w:color w:val="auto"/>
          <w:spacing w:val="0"/>
          <w:sz w:val="32"/>
          <w:szCs w:val="32"/>
          <w:u w:val="none"/>
          <w:lang w:val="en-US" w:eastAsia="zh-CN"/>
        </w:rPr>
        <w:t>敢于担当抓落实。</w:t>
      </w:r>
      <w:r>
        <w:rPr>
          <w:rFonts w:hint="eastAsia" w:ascii="仿宋_GB2312" w:hAnsi="仿宋_GB2312" w:eastAsia="仿宋_GB2312" w:cs="仿宋_GB2312"/>
          <w:b w:val="0"/>
          <w:bCs/>
          <w:color w:val="auto"/>
          <w:spacing w:val="0"/>
          <w:kern w:val="2"/>
          <w:sz w:val="32"/>
          <w:szCs w:val="32"/>
          <w:highlight w:val="none"/>
          <w:u w:val="none"/>
          <w:lang w:val="en-US" w:eastAsia="zh-CN" w:bidi="ar-SA"/>
        </w:rPr>
        <w:t>保持永不懈怠的精神状态和勇争一流的奋斗姿态，敢闯敢试、敢抓敢管、敢作敢为，树牢有解思维、数据思维、闭环思维，增强报账意识、交卷意识、成果意识，坚决扛起“争当表率、争做示范、争做一流”光荣使命，</w:t>
      </w:r>
      <w:r>
        <w:rPr>
          <w:rFonts w:hint="eastAsia" w:ascii="仿宋_GB2312" w:hAnsi="仿宋_GB2312" w:eastAsia="仿宋_GB2312" w:cs="仿宋_GB2312"/>
          <w:b w:val="0"/>
          <w:bCs/>
          <w:color w:val="auto"/>
          <w:spacing w:val="0"/>
          <w:kern w:val="2"/>
          <w:sz w:val="32"/>
          <w:szCs w:val="32"/>
          <w:highlight w:val="none"/>
          <w:u w:val="none"/>
          <w:lang w:val="en-US" w:bidi="ar-SA"/>
        </w:rPr>
        <w:t>以</w:t>
      </w:r>
      <w:r>
        <w:rPr>
          <w:rFonts w:hint="eastAsia" w:ascii="仿宋_GB2312" w:hAnsi="仿宋_GB2312" w:eastAsia="仿宋_GB2312" w:cs="仿宋_GB2312"/>
          <w:b w:val="0"/>
          <w:bCs/>
          <w:color w:val="auto"/>
          <w:spacing w:val="0"/>
          <w:kern w:val="2"/>
          <w:sz w:val="32"/>
          <w:szCs w:val="32"/>
          <w:highlight w:val="none"/>
          <w:u w:val="none"/>
          <w:lang w:val="en-US" w:eastAsia="zh-CN" w:bidi="ar-SA"/>
        </w:rPr>
        <w:t>实干实绩实效取信于民。坚持攻重点破难点，</w:t>
      </w:r>
      <w:r>
        <w:rPr>
          <w:rFonts w:hint="eastAsia" w:ascii="仿宋_GB2312" w:hAnsi="仿宋_GB2312" w:eastAsia="仿宋_GB2312" w:cs="仿宋_GB2312"/>
          <w:b w:val="0"/>
          <w:bCs/>
          <w:color w:val="auto"/>
          <w:spacing w:val="0"/>
          <w:kern w:val="2"/>
          <w:sz w:val="32"/>
          <w:szCs w:val="32"/>
          <w:highlight w:val="none"/>
          <w:u w:val="none"/>
          <w:lang w:val="en-US" w:bidi="ar-SA"/>
        </w:rPr>
        <w:t>深入推进优化营商环境攻坚行动，努力放大</w:t>
      </w:r>
      <w:r>
        <w:rPr>
          <w:rFonts w:hint="eastAsia" w:ascii="仿宋_GB2312" w:hAnsi="仿宋_GB2312" w:eastAsia="仿宋_GB2312" w:cs="仿宋_GB2312"/>
          <w:b w:val="0"/>
          <w:bCs/>
          <w:color w:val="auto"/>
          <w:spacing w:val="0"/>
          <w:kern w:val="2"/>
          <w:sz w:val="32"/>
          <w:szCs w:val="32"/>
          <w:highlight w:val="none"/>
          <w:u w:val="none"/>
          <w:lang w:val="en-US" w:eastAsia="zh-CN" w:bidi="ar-SA"/>
        </w:rPr>
        <w:t>政策叠加效应</w:t>
      </w:r>
      <w:r>
        <w:rPr>
          <w:rFonts w:hint="eastAsia" w:ascii="仿宋_GB2312" w:hAnsi="仿宋_GB2312" w:eastAsia="仿宋_GB2312" w:cs="仿宋_GB2312"/>
          <w:b w:val="0"/>
          <w:bCs/>
          <w:color w:val="auto"/>
          <w:spacing w:val="0"/>
          <w:kern w:val="2"/>
          <w:sz w:val="32"/>
          <w:szCs w:val="32"/>
          <w:highlight w:val="none"/>
          <w:u w:val="none"/>
          <w:lang w:val="en-US" w:bidi="ar-SA"/>
        </w:rPr>
        <w:t>，全面</w:t>
      </w:r>
      <w:r>
        <w:rPr>
          <w:rFonts w:hint="eastAsia" w:ascii="仿宋_GB2312" w:hAnsi="仿宋_GB2312" w:eastAsia="仿宋_GB2312" w:cs="仿宋_GB2312"/>
          <w:b w:val="0"/>
          <w:bCs/>
          <w:color w:val="auto"/>
          <w:spacing w:val="0"/>
          <w:kern w:val="2"/>
          <w:sz w:val="32"/>
          <w:szCs w:val="32"/>
          <w:highlight w:val="none"/>
          <w:u w:val="none"/>
          <w:lang w:val="en-US" w:eastAsia="zh-CN" w:bidi="ar-SA"/>
        </w:rPr>
        <w:t>打通服务企业</w:t>
      </w:r>
      <w:r>
        <w:rPr>
          <w:rFonts w:hint="eastAsia" w:ascii="仿宋_GB2312" w:hAnsi="仿宋_GB2312" w:eastAsia="仿宋_GB2312" w:cs="仿宋_GB2312"/>
          <w:b w:val="0"/>
          <w:bCs/>
          <w:color w:val="auto"/>
          <w:spacing w:val="0"/>
          <w:kern w:val="2"/>
          <w:sz w:val="32"/>
          <w:szCs w:val="32"/>
          <w:highlight w:val="none"/>
          <w:u w:val="none"/>
          <w:lang w:val="en-US" w:bidi="ar-SA"/>
        </w:rPr>
        <w:t>项目</w:t>
      </w:r>
      <w:r>
        <w:rPr>
          <w:rFonts w:hint="eastAsia" w:ascii="仿宋_GB2312" w:hAnsi="仿宋_GB2312" w:eastAsia="仿宋_GB2312" w:cs="仿宋_GB2312"/>
          <w:b w:val="0"/>
          <w:bCs/>
          <w:color w:val="auto"/>
          <w:spacing w:val="0"/>
          <w:kern w:val="2"/>
          <w:sz w:val="32"/>
          <w:szCs w:val="32"/>
          <w:highlight w:val="none"/>
          <w:u w:val="none"/>
          <w:lang w:val="en-US" w:eastAsia="zh-CN" w:bidi="ar-SA"/>
        </w:rPr>
        <w:t>“最后一公里”</w:t>
      </w:r>
      <w:r>
        <w:rPr>
          <w:rFonts w:hint="eastAsia" w:ascii="仿宋_GB2312" w:hAnsi="仿宋_GB2312" w:eastAsia="仿宋_GB2312" w:cs="仿宋_GB2312"/>
          <w:b w:val="0"/>
          <w:bCs/>
          <w:color w:val="auto"/>
          <w:spacing w:val="0"/>
          <w:kern w:val="2"/>
          <w:sz w:val="32"/>
          <w:szCs w:val="32"/>
          <w:highlight w:val="none"/>
          <w:u w:val="none"/>
          <w:lang w:val="en-US" w:bidi="ar-SA"/>
        </w:rPr>
        <w:t>。</w:t>
      </w:r>
      <w:r>
        <w:rPr>
          <w:rFonts w:hint="eastAsia" w:ascii="仿宋_GB2312" w:hAnsi="仿宋_GB2312" w:eastAsia="仿宋_GB2312" w:cs="仿宋_GB2312"/>
          <w:b w:val="0"/>
          <w:bCs/>
          <w:color w:val="auto"/>
          <w:spacing w:val="0"/>
          <w:kern w:val="2"/>
          <w:sz w:val="32"/>
          <w:szCs w:val="32"/>
          <w:highlight w:val="none"/>
          <w:u w:val="none"/>
          <w:lang w:val="en-US" w:eastAsia="zh-CN" w:bidi="ar-SA"/>
        </w:rPr>
        <w:t>强力推进要事大事</w:t>
      </w:r>
      <w:r>
        <w:rPr>
          <w:rFonts w:hint="eastAsia" w:ascii="仿宋_GB2312" w:hAnsi="仿宋_GB2312" w:eastAsia="仿宋_GB2312" w:cs="仿宋_GB2312"/>
          <w:b w:val="0"/>
          <w:bCs/>
          <w:color w:val="auto"/>
          <w:spacing w:val="0"/>
          <w:kern w:val="2"/>
          <w:sz w:val="32"/>
          <w:szCs w:val="32"/>
          <w:highlight w:val="none"/>
          <w:u w:val="none"/>
          <w:lang w:val="en-US" w:bidi="ar-SA"/>
        </w:rPr>
        <w:t>，</w:t>
      </w:r>
      <w:r>
        <w:rPr>
          <w:rFonts w:hint="eastAsia" w:ascii="仿宋_GB2312" w:hAnsi="仿宋_GB2312" w:eastAsia="仿宋_GB2312" w:cs="仿宋_GB2312"/>
          <w:b w:val="0"/>
          <w:bCs/>
          <w:color w:val="auto"/>
          <w:spacing w:val="0"/>
          <w:kern w:val="2"/>
          <w:sz w:val="32"/>
          <w:szCs w:val="32"/>
          <w:highlight w:val="none"/>
          <w:u w:val="none"/>
          <w:lang w:val="en-US" w:eastAsia="zh-CN" w:bidi="ar-SA"/>
        </w:rPr>
        <w:t>解决</w:t>
      </w:r>
      <w:r>
        <w:rPr>
          <w:rFonts w:hint="eastAsia" w:ascii="仿宋_GB2312" w:hAnsi="仿宋_GB2312" w:eastAsia="仿宋_GB2312" w:cs="仿宋_GB2312"/>
          <w:b w:val="0"/>
          <w:bCs/>
          <w:color w:val="auto"/>
          <w:spacing w:val="0"/>
          <w:kern w:val="2"/>
          <w:sz w:val="32"/>
          <w:szCs w:val="32"/>
          <w:highlight w:val="none"/>
          <w:u w:val="none"/>
          <w:lang w:val="en-US" w:bidi="ar-SA"/>
        </w:rPr>
        <w:t>好</w:t>
      </w:r>
      <w:r>
        <w:rPr>
          <w:rFonts w:hint="eastAsia" w:ascii="仿宋_GB2312" w:hAnsi="仿宋_GB2312" w:eastAsia="仿宋_GB2312" w:cs="仿宋_GB2312"/>
          <w:b w:val="0"/>
          <w:bCs/>
          <w:color w:val="auto"/>
          <w:spacing w:val="0"/>
          <w:kern w:val="2"/>
          <w:sz w:val="32"/>
          <w:szCs w:val="32"/>
          <w:highlight w:val="none"/>
          <w:u w:val="none"/>
          <w:lang w:val="en-US" w:eastAsia="zh-CN" w:bidi="ar-SA"/>
        </w:rPr>
        <w:t>群众急难愁盼的入学、就医、养老等民生问题</w:t>
      </w:r>
      <w:r>
        <w:rPr>
          <w:rFonts w:hint="eastAsia" w:ascii="仿宋_GB2312" w:hAnsi="仿宋_GB2312" w:eastAsia="仿宋_GB2312" w:cs="仿宋_GB2312"/>
          <w:b w:val="0"/>
          <w:bCs/>
          <w:color w:val="auto"/>
          <w:spacing w:val="0"/>
          <w:kern w:val="2"/>
          <w:sz w:val="32"/>
          <w:szCs w:val="32"/>
          <w:highlight w:val="none"/>
          <w:u w:val="none"/>
          <w:lang w:val="en-US" w:bidi="ar-SA"/>
        </w:rPr>
        <w:t>，</w:t>
      </w:r>
      <w:r>
        <w:rPr>
          <w:rFonts w:hint="eastAsia" w:ascii="仿宋_GB2312" w:hAnsi="仿宋_GB2312" w:eastAsia="仿宋_GB2312" w:cs="仿宋_GB2312"/>
          <w:b w:val="0"/>
          <w:bCs/>
          <w:color w:val="auto"/>
          <w:spacing w:val="0"/>
          <w:kern w:val="2"/>
          <w:sz w:val="32"/>
          <w:szCs w:val="32"/>
          <w:highlight w:val="none"/>
          <w:u w:val="none"/>
          <w:lang w:val="en-US" w:eastAsia="zh-CN" w:bidi="ar-SA"/>
        </w:rPr>
        <w:t>努力使临河的改革有特色、经济有亮点、发展有成效。</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76" w:lineRule="exact"/>
        <w:ind w:left="0" w:right="0" w:firstLine="643" w:firstLineChars="200"/>
        <w:jc w:val="both"/>
        <w:textAlignment w:val="baseline"/>
        <w:rPr>
          <w:rFonts w:hint="default" w:ascii="Times New Roman" w:hAnsi="Times New Roman" w:eastAsia="仿宋_GB2312" w:cs="Times New Roman"/>
          <w:b w:val="0"/>
          <w:bCs/>
          <w:color w:val="auto"/>
          <w:spacing w:val="0"/>
          <w:sz w:val="32"/>
          <w:szCs w:val="32"/>
          <w:highlight w:val="none"/>
          <w:u w:val="none"/>
          <w:lang w:val="en-US" w:eastAsia="zh-CN"/>
        </w:rPr>
      </w:pPr>
      <w:r>
        <w:rPr>
          <w:rFonts w:hint="default" w:ascii="Times New Roman" w:hAnsi="Times New Roman" w:eastAsia="楷体_GB2312" w:cs="Times New Roman"/>
          <w:b/>
          <w:bCs/>
          <w:color w:val="auto"/>
          <w:spacing w:val="0"/>
          <w:sz w:val="32"/>
          <w:szCs w:val="32"/>
          <w:u w:val="none"/>
          <w:lang w:val="en-US"/>
        </w:rPr>
        <w:t>优化机制抓落实。</w:t>
      </w:r>
      <w:r>
        <w:rPr>
          <w:rFonts w:hint="eastAsia" w:ascii="仿宋_GB2312" w:hAnsi="仿宋_GB2312" w:eastAsia="仿宋_GB2312" w:cs="仿宋_GB2312"/>
          <w:b w:val="0"/>
          <w:bCs/>
          <w:color w:val="auto"/>
          <w:spacing w:val="0"/>
          <w:sz w:val="32"/>
          <w:szCs w:val="32"/>
          <w:highlight w:val="none"/>
          <w:u w:val="none"/>
          <w:lang w:val="en-US" w:eastAsia="zh-CN"/>
        </w:rPr>
        <w:t>创新完善分工负责、清单管理、协调配合、重点督查、问题整改、</w:t>
      </w:r>
      <w:r>
        <w:rPr>
          <w:rFonts w:hint="eastAsia" w:ascii="仿宋_GB2312" w:hAnsi="仿宋_GB2312" w:eastAsia="仿宋_GB2312" w:cs="仿宋_GB2312"/>
          <w:b w:val="0"/>
          <w:bCs/>
          <w:color w:val="auto"/>
          <w:spacing w:val="0"/>
          <w:sz w:val="32"/>
          <w:szCs w:val="32"/>
          <w:highlight w:val="none"/>
          <w:u w:val="none"/>
          <w:lang w:val="en-US"/>
        </w:rPr>
        <w:t>绩效考核等</w:t>
      </w:r>
      <w:r>
        <w:rPr>
          <w:rFonts w:hint="eastAsia" w:ascii="仿宋_GB2312" w:hAnsi="仿宋_GB2312" w:eastAsia="仿宋_GB2312" w:cs="仿宋_GB2312"/>
          <w:b w:val="0"/>
          <w:bCs/>
          <w:color w:val="auto"/>
          <w:spacing w:val="0"/>
          <w:sz w:val="32"/>
          <w:szCs w:val="32"/>
          <w:highlight w:val="none"/>
          <w:u w:val="none"/>
          <w:lang w:val="en-US" w:eastAsia="zh-CN"/>
        </w:rPr>
        <w:t>机制，明确</w:t>
      </w:r>
      <w:r>
        <w:rPr>
          <w:rFonts w:hint="eastAsia" w:ascii="仿宋_GB2312" w:hAnsi="仿宋_GB2312" w:eastAsia="仿宋_GB2312" w:cs="仿宋_GB2312"/>
          <w:b w:val="0"/>
          <w:bCs/>
          <w:color w:val="auto"/>
          <w:spacing w:val="0"/>
          <w:sz w:val="32"/>
          <w:szCs w:val="32"/>
          <w:highlight w:val="none"/>
          <w:u w:val="none"/>
          <w:lang w:val="en-US"/>
        </w:rPr>
        <w:t>可量化、</w:t>
      </w:r>
      <w:r>
        <w:rPr>
          <w:rFonts w:hint="eastAsia" w:ascii="仿宋_GB2312" w:hAnsi="仿宋_GB2312" w:eastAsia="仿宋_GB2312" w:cs="仿宋_GB2312"/>
          <w:b w:val="0"/>
          <w:bCs/>
          <w:color w:val="auto"/>
          <w:spacing w:val="0"/>
          <w:sz w:val="32"/>
          <w:szCs w:val="32"/>
          <w:highlight w:val="none"/>
          <w:u w:val="none"/>
          <w:lang w:val="en-US" w:eastAsia="zh-CN"/>
        </w:rPr>
        <w:t>可考核、可验收的具体工作标准，全面构建抓落实的闭环管理体系</w:t>
      </w:r>
      <w:r>
        <w:rPr>
          <w:rFonts w:hint="eastAsia" w:ascii="仿宋_GB2312" w:hAnsi="仿宋_GB2312" w:eastAsia="仿宋_GB2312" w:cs="仿宋_GB2312"/>
          <w:b w:val="0"/>
          <w:bCs/>
          <w:color w:val="auto"/>
          <w:spacing w:val="0"/>
          <w:sz w:val="32"/>
          <w:szCs w:val="32"/>
          <w:highlight w:val="none"/>
          <w:u w:val="none"/>
          <w:lang w:val="en-US"/>
        </w:rPr>
        <w:t>。</w:t>
      </w:r>
      <w:r>
        <w:rPr>
          <w:rFonts w:hint="eastAsia" w:ascii="仿宋_GB2312" w:hAnsi="仿宋_GB2312" w:eastAsia="仿宋_GB2312" w:cs="仿宋_GB2312"/>
          <w:b w:val="0"/>
          <w:bCs/>
          <w:color w:val="auto"/>
          <w:spacing w:val="0"/>
          <w:sz w:val="32"/>
          <w:szCs w:val="32"/>
          <w:highlight w:val="none"/>
          <w:u w:val="none"/>
          <w:lang w:val="en-US" w:eastAsia="zh-CN"/>
        </w:rPr>
        <w:t>建立健全奖惩激励机制，</w:t>
      </w:r>
      <w:r>
        <w:rPr>
          <w:rFonts w:hint="eastAsia" w:ascii="仿宋_GB2312" w:hAnsi="仿宋_GB2312" w:eastAsia="仿宋_GB2312" w:cs="仿宋_GB2312"/>
          <w:b w:val="0"/>
          <w:bCs/>
          <w:color w:val="auto"/>
          <w:spacing w:val="0"/>
          <w:sz w:val="32"/>
          <w:szCs w:val="32"/>
          <w:highlight w:val="none"/>
          <w:u w:val="none"/>
          <w:lang w:val="en-US"/>
        </w:rPr>
        <w:t>压紧</w:t>
      </w:r>
      <w:r>
        <w:rPr>
          <w:rFonts w:hint="eastAsia" w:ascii="仿宋_GB2312" w:hAnsi="仿宋_GB2312" w:eastAsia="仿宋_GB2312" w:cs="仿宋_GB2312"/>
          <w:b w:val="0"/>
          <w:bCs/>
          <w:color w:val="auto"/>
          <w:spacing w:val="0"/>
          <w:sz w:val="32"/>
          <w:szCs w:val="32"/>
          <w:highlight w:val="none"/>
          <w:u w:val="none"/>
          <w:lang w:val="en-US" w:eastAsia="zh-CN"/>
        </w:rPr>
        <w:t>压实</w:t>
      </w:r>
      <w:r>
        <w:rPr>
          <w:rFonts w:hint="eastAsia" w:ascii="仿宋_GB2312" w:hAnsi="仿宋_GB2312" w:eastAsia="仿宋_GB2312" w:cs="仿宋_GB2312"/>
          <w:b w:val="0"/>
          <w:bCs/>
          <w:color w:val="auto"/>
          <w:spacing w:val="0"/>
          <w:sz w:val="32"/>
          <w:szCs w:val="32"/>
          <w:highlight w:val="none"/>
          <w:u w:val="none"/>
          <w:lang w:val="en-US"/>
        </w:rPr>
        <w:t>工作职责</w:t>
      </w:r>
      <w:r>
        <w:rPr>
          <w:rFonts w:hint="eastAsia" w:ascii="仿宋_GB2312" w:hAnsi="仿宋_GB2312" w:eastAsia="仿宋_GB2312" w:cs="仿宋_GB2312"/>
          <w:b w:val="0"/>
          <w:bCs/>
          <w:color w:val="auto"/>
          <w:spacing w:val="0"/>
          <w:sz w:val="32"/>
          <w:szCs w:val="32"/>
          <w:highlight w:val="none"/>
          <w:u w:val="none"/>
          <w:lang w:val="en-US" w:eastAsia="zh-CN"/>
        </w:rPr>
        <w:t>，形成“有岗、有责、有流程、有评</w:t>
      </w:r>
      <w:r>
        <w:rPr>
          <w:rFonts w:hint="eastAsia" w:ascii="仿宋_GB2312" w:hAnsi="仿宋_GB2312" w:eastAsia="仿宋_GB2312" w:cs="仿宋_GB2312"/>
          <w:b w:val="0"/>
          <w:bCs/>
          <w:color w:val="auto"/>
          <w:spacing w:val="0"/>
          <w:sz w:val="32"/>
          <w:szCs w:val="32"/>
          <w:highlight w:val="none"/>
          <w:u w:val="none"/>
          <w:lang w:val="en-US"/>
        </w:rPr>
        <w:t>价</w:t>
      </w:r>
      <w:r>
        <w:rPr>
          <w:rFonts w:hint="eastAsia" w:ascii="仿宋_GB2312" w:hAnsi="仿宋_GB2312" w:eastAsia="仿宋_GB2312" w:cs="仿宋_GB2312"/>
          <w:b w:val="0"/>
          <w:bCs/>
          <w:color w:val="auto"/>
          <w:spacing w:val="0"/>
          <w:sz w:val="32"/>
          <w:szCs w:val="32"/>
          <w:highlight w:val="none"/>
          <w:u w:val="none"/>
          <w:lang w:val="en-US" w:eastAsia="zh-CN"/>
        </w:rPr>
        <w:t>、有奖惩”机制，细化落实正向激励和容错纠错机制，旗帜鲜明地为担当者担当、为负责者负责、为实干者撑腰，切实让广大干部认识到、体会到干与不干不一样、干多干少不一样、干好干坏不一样，全面激发干部干事创业热情。</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76" w:lineRule="exact"/>
        <w:ind w:right="0" w:firstLine="643" w:firstLineChars="200"/>
        <w:jc w:val="both"/>
        <w:rPr>
          <w:rFonts w:hint="eastAsia" w:ascii="仿宋_GB2312" w:hAnsi="仿宋_GB2312" w:eastAsia="仿宋_GB2312" w:cs="仿宋_GB2312"/>
          <w:b w:val="0"/>
          <w:bCs/>
          <w:color w:val="auto"/>
          <w:spacing w:val="0"/>
          <w:sz w:val="32"/>
          <w:szCs w:val="32"/>
          <w:highlight w:val="none"/>
          <w:u w:val="none"/>
          <w:lang w:val="en-US" w:eastAsia="zh-CN"/>
        </w:rPr>
      </w:pPr>
      <w:r>
        <w:rPr>
          <w:rFonts w:hint="default" w:ascii="Times New Roman" w:hAnsi="Times New Roman" w:eastAsia="楷体_GB2312" w:cs="Times New Roman"/>
          <w:b/>
          <w:bCs/>
          <w:color w:val="auto"/>
          <w:spacing w:val="0"/>
          <w:sz w:val="32"/>
          <w:szCs w:val="32"/>
          <w:u w:val="none"/>
          <w:lang w:val="en-US"/>
        </w:rPr>
        <w:t>清正</w:t>
      </w:r>
      <w:r>
        <w:rPr>
          <w:rFonts w:hint="default" w:ascii="Times New Roman" w:hAnsi="Times New Roman" w:eastAsia="楷体_GB2312" w:cs="Times New Roman"/>
          <w:b/>
          <w:bCs/>
          <w:color w:val="auto"/>
          <w:spacing w:val="0"/>
          <w:sz w:val="32"/>
          <w:szCs w:val="32"/>
          <w:u w:val="none"/>
          <w:lang w:val="en-US" w:eastAsia="zh-CN"/>
        </w:rPr>
        <w:t>清廉抓落实。</w:t>
      </w:r>
      <w:r>
        <w:rPr>
          <w:rFonts w:hint="eastAsia" w:ascii="仿宋_GB2312" w:hAnsi="仿宋_GB2312" w:eastAsia="仿宋_GB2312" w:cs="仿宋_GB2312"/>
          <w:b w:val="0"/>
          <w:bCs/>
          <w:color w:val="auto"/>
          <w:spacing w:val="1"/>
          <w:sz w:val="32"/>
          <w:szCs w:val="32"/>
          <w:highlight w:val="none"/>
          <w:u w:val="none"/>
          <w:lang w:val="en-US" w:eastAsia="zh-CN"/>
        </w:rPr>
        <w:t>始终牢记“三个务必”，坚决落实党风廉政建设主体责任和“一岗双责”，持续深化干部纪律作风整顿，锲而不舍落实中央八项规定及其实施细则精神，力戒形式主义、官僚主义，教育引导政府系统干部严于律己、严负其责、严管所辖，营造风清气正的政治生态。大力整治</w:t>
      </w:r>
      <w:r>
        <w:rPr>
          <w:rFonts w:hint="eastAsia" w:ascii="仿宋_GB2312" w:hAnsi="仿宋_GB2312" w:eastAsia="仿宋_GB2312" w:cs="仿宋_GB2312"/>
          <w:b w:val="0"/>
          <w:bCs/>
          <w:color w:val="auto"/>
          <w:spacing w:val="1"/>
          <w:sz w:val="32"/>
          <w:szCs w:val="32"/>
          <w:highlight w:val="none"/>
          <w:u w:val="none"/>
          <w:lang w:val="en-US"/>
        </w:rPr>
        <w:t>“三多三少三慢”</w:t>
      </w:r>
      <w:r>
        <w:rPr>
          <w:rFonts w:hint="eastAsia" w:ascii="仿宋_GB2312" w:hAnsi="仿宋_GB2312" w:eastAsia="仿宋_GB2312" w:cs="仿宋_GB2312"/>
          <w:b w:val="0"/>
          <w:bCs/>
          <w:color w:val="auto"/>
          <w:spacing w:val="1"/>
          <w:sz w:val="32"/>
          <w:szCs w:val="32"/>
          <w:highlight w:val="none"/>
          <w:u w:val="none"/>
          <w:lang w:val="en-US" w:eastAsia="zh-CN"/>
        </w:rPr>
        <w:t>、贯彻落实“七个摒弃”，持续为基层减负松绑</w:t>
      </w:r>
      <w:r>
        <w:rPr>
          <w:rFonts w:hint="eastAsia" w:ascii="仿宋_GB2312" w:hAnsi="仿宋_GB2312" w:eastAsia="仿宋_GB2312" w:cs="仿宋_GB2312"/>
          <w:b w:val="0"/>
          <w:bCs/>
          <w:color w:val="auto"/>
          <w:spacing w:val="1"/>
          <w:sz w:val="32"/>
          <w:szCs w:val="32"/>
          <w:highlight w:val="none"/>
          <w:u w:val="none"/>
          <w:lang w:val="en-US"/>
        </w:rPr>
        <w:t>，</w:t>
      </w:r>
      <w:r>
        <w:rPr>
          <w:rFonts w:hint="eastAsia" w:ascii="仿宋_GB2312" w:hAnsi="仿宋_GB2312" w:eastAsia="仿宋_GB2312" w:cs="仿宋_GB2312"/>
          <w:b w:val="0"/>
          <w:bCs/>
          <w:color w:val="auto"/>
          <w:spacing w:val="1"/>
          <w:sz w:val="32"/>
          <w:szCs w:val="32"/>
          <w:highlight w:val="none"/>
          <w:u w:val="none"/>
          <w:lang w:val="en-US" w:eastAsia="zh-CN"/>
        </w:rPr>
        <w:t>让干部轻装上阵</w:t>
      </w:r>
      <w:r>
        <w:rPr>
          <w:rFonts w:hint="eastAsia" w:ascii="仿宋_GB2312" w:hAnsi="仿宋_GB2312" w:eastAsia="仿宋_GB2312" w:cs="仿宋_GB2312"/>
          <w:b w:val="0"/>
          <w:bCs/>
          <w:color w:val="auto"/>
          <w:spacing w:val="1"/>
          <w:sz w:val="32"/>
          <w:szCs w:val="32"/>
          <w:highlight w:val="none"/>
          <w:u w:val="none"/>
          <w:lang w:val="en-US"/>
        </w:rPr>
        <w:t>，</w:t>
      </w:r>
      <w:r>
        <w:rPr>
          <w:rFonts w:hint="eastAsia" w:ascii="仿宋_GB2312" w:hAnsi="仿宋_GB2312" w:eastAsia="仿宋_GB2312" w:cs="仿宋_GB2312"/>
          <w:b w:val="0"/>
          <w:bCs/>
          <w:color w:val="auto"/>
          <w:spacing w:val="1"/>
          <w:sz w:val="32"/>
          <w:szCs w:val="32"/>
          <w:highlight w:val="none"/>
          <w:u w:val="none"/>
          <w:lang w:val="en-US" w:eastAsia="zh-CN"/>
        </w:rPr>
        <w:t>把时间和精力用在研究解决问题和抓落实上，认真做事，敢于定事，全力成事。牢固树立“过紧日子”思想，压减一切非必要性财政支出，坚决遏制政府债务增量，以政府紧日子换取百姓好日子。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auto"/>
          <w:spacing w:val="0"/>
          <w:sz w:val="32"/>
          <w:szCs w:val="32"/>
          <w:highlight w:val="none"/>
          <w:u w:val="none"/>
          <w:lang w:val="en-US" w:eastAsia="zh-CN"/>
        </w:rPr>
      </w:pPr>
      <w:r>
        <w:rPr>
          <w:rFonts w:hint="eastAsia" w:ascii="仿宋_GB2312" w:hAnsi="仿宋_GB2312" w:eastAsia="仿宋_GB2312" w:cs="仿宋_GB2312"/>
          <w:b w:val="0"/>
          <w:bCs/>
          <w:color w:val="auto"/>
          <w:spacing w:val="0"/>
          <w:sz w:val="32"/>
          <w:szCs w:val="32"/>
          <w:highlight w:val="none"/>
          <w:u w:val="none"/>
          <w:lang w:val="en-US" w:eastAsia="zh-CN"/>
        </w:rPr>
        <w:t>各位代表！初心如磐，使命在肩；任重道远，实干为先。让我们更加紧密团结在以习近平同志为核心的党中央周围，在区委的坚强领导下，以我将无我之心谋事、以满怀感恩之心干事、以责无旁贷之心成事，为加快推进中国式现代化贡献临河力量！</w:t>
      </w:r>
    </w:p>
    <w:sectPr>
      <w:footerReference r:id="rId3" w:type="default"/>
      <w:footnotePr>
        <w:numFmt w:val="decimalEnclosedCircleChinese"/>
      </w:footnotePr>
      <w:endnotePr>
        <w:numFmt w:val="decimalEnclosedCircleChinese"/>
      </w:endnotePr>
      <w:pgSz w:w="11906" w:h="16838"/>
      <w:pgMar w:top="2098" w:right="1474" w:bottom="1814" w:left="1587" w:header="851" w:footer="1417"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8"/>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A7YyYLEAQAAjwMAAA4AAAAAAAAAAQAgAAAAHwEAAGRycy9lMm9Eb2MueG1s&#10;UEsFBgAAAAAGAAYAWQEAAFUFAAAAAA==&#10;">
              <v:fill on="f" focussize="0,0"/>
              <v:stroke on="f"/>
              <v:imagedata o:title=""/>
              <o:lock v:ext="edit" aspectratio="f"/>
              <v:textbox inset="0mm,0mm,0mm,0mm" style="mso-fit-shape-to-text:t;">
                <w:txbxContent>
                  <w:p>
                    <w:pPr>
                      <w:pStyle w:val="8"/>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footnotePr>
    <w:numFmt w:val="decimalEnclosedCircleChinese"/>
  </w:footnotePr>
  <w:endnotePr>
    <w:numFmt w:val="decimalEnclosedCircleChinese"/>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zNDE5ZGRmMDRjNDc0NWM0YzkyYWU4YzdkMzY3NDYifQ=="/>
  </w:docVars>
  <w:rsids>
    <w:rsidRoot w:val="007C2D91"/>
    <w:rsid w:val="00007716"/>
    <w:rsid w:val="000D505A"/>
    <w:rsid w:val="00101C40"/>
    <w:rsid w:val="001672F1"/>
    <w:rsid w:val="002121B1"/>
    <w:rsid w:val="002A1007"/>
    <w:rsid w:val="002F08F3"/>
    <w:rsid w:val="002F3345"/>
    <w:rsid w:val="003060DF"/>
    <w:rsid w:val="00345287"/>
    <w:rsid w:val="003825EC"/>
    <w:rsid w:val="003A5922"/>
    <w:rsid w:val="003F1F8C"/>
    <w:rsid w:val="00453695"/>
    <w:rsid w:val="004615A1"/>
    <w:rsid w:val="00472C7F"/>
    <w:rsid w:val="004B285A"/>
    <w:rsid w:val="004C2EB8"/>
    <w:rsid w:val="00535F09"/>
    <w:rsid w:val="00560B12"/>
    <w:rsid w:val="006352FD"/>
    <w:rsid w:val="0067391F"/>
    <w:rsid w:val="007C2D91"/>
    <w:rsid w:val="007C370C"/>
    <w:rsid w:val="00864D9E"/>
    <w:rsid w:val="008710B6"/>
    <w:rsid w:val="00882B21"/>
    <w:rsid w:val="008839F3"/>
    <w:rsid w:val="008B76DB"/>
    <w:rsid w:val="008C263F"/>
    <w:rsid w:val="008F3FCE"/>
    <w:rsid w:val="009448E6"/>
    <w:rsid w:val="00983EB0"/>
    <w:rsid w:val="0098536F"/>
    <w:rsid w:val="00996700"/>
    <w:rsid w:val="009C59F3"/>
    <w:rsid w:val="00A51166"/>
    <w:rsid w:val="00A90245"/>
    <w:rsid w:val="00AA179A"/>
    <w:rsid w:val="00AB6F13"/>
    <w:rsid w:val="00B15AD7"/>
    <w:rsid w:val="00B6584C"/>
    <w:rsid w:val="00B955CD"/>
    <w:rsid w:val="00BE1D13"/>
    <w:rsid w:val="00C25CCE"/>
    <w:rsid w:val="00C3758B"/>
    <w:rsid w:val="00C44AF8"/>
    <w:rsid w:val="00C46C6E"/>
    <w:rsid w:val="00DD00D4"/>
    <w:rsid w:val="00DE00B9"/>
    <w:rsid w:val="00EA5FAD"/>
    <w:rsid w:val="00F2754B"/>
    <w:rsid w:val="00F4205A"/>
    <w:rsid w:val="00FF2F10"/>
    <w:rsid w:val="010C46F1"/>
    <w:rsid w:val="020478D0"/>
    <w:rsid w:val="030806B1"/>
    <w:rsid w:val="035D6BF4"/>
    <w:rsid w:val="045E4239"/>
    <w:rsid w:val="04BE2062"/>
    <w:rsid w:val="05D13543"/>
    <w:rsid w:val="07D63BB4"/>
    <w:rsid w:val="08BF40AC"/>
    <w:rsid w:val="091A4228"/>
    <w:rsid w:val="0AFA6EFE"/>
    <w:rsid w:val="0B212DFC"/>
    <w:rsid w:val="0B9803C9"/>
    <w:rsid w:val="0D3569F5"/>
    <w:rsid w:val="0E254672"/>
    <w:rsid w:val="0ECA0DAD"/>
    <w:rsid w:val="0FE8038D"/>
    <w:rsid w:val="10E50428"/>
    <w:rsid w:val="11645D0E"/>
    <w:rsid w:val="13111E52"/>
    <w:rsid w:val="13397927"/>
    <w:rsid w:val="142B582B"/>
    <w:rsid w:val="15C947BC"/>
    <w:rsid w:val="15D32FEB"/>
    <w:rsid w:val="16DE6045"/>
    <w:rsid w:val="16EC15D8"/>
    <w:rsid w:val="18CD4F1B"/>
    <w:rsid w:val="190B44B4"/>
    <w:rsid w:val="1972073A"/>
    <w:rsid w:val="19C159DC"/>
    <w:rsid w:val="19E03E83"/>
    <w:rsid w:val="1BC71A8F"/>
    <w:rsid w:val="1BCF41AF"/>
    <w:rsid w:val="1CF524EE"/>
    <w:rsid w:val="1D2C750D"/>
    <w:rsid w:val="1E8825A1"/>
    <w:rsid w:val="20801280"/>
    <w:rsid w:val="2119509B"/>
    <w:rsid w:val="22175F23"/>
    <w:rsid w:val="23003E5E"/>
    <w:rsid w:val="2305495A"/>
    <w:rsid w:val="231978C0"/>
    <w:rsid w:val="23A93537"/>
    <w:rsid w:val="243E7146"/>
    <w:rsid w:val="25CB1CCD"/>
    <w:rsid w:val="290C2A62"/>
    <w:rsid w:val="299D2745"/>
    <w:rsid w:val="2B421CCC"/>
    <w:rsid w:val="2BD816A7"/>
    <w:rsid w:val="2C875C19"/>
    <w:rsid w:val="2D8C2F07"/>
    <w:rsid w:val="2FEF290A"/>
    <w:rsid w:val="31903F88"/>
    <w:rsid w:val="321150C9"/>
    <w:rsid w:val="32727916"/>
    <w:rsid w:val="333B65D8"/>
    <w:rsid w:val="340C3D9A"/>
    <w:rsid w:val="34615F6A"/>
    <w:rsid w:val="34A86CEE"/>
    <w:rsid w:val="34C5219B"/>
    <w:rsid w:val="37EA7EB8"/>
    <w:rsid w:val="37FF7772"/>
    <w:rsid w:val="39C3314D"/>
    <w:rsid w:val="3A184B1B"/>
    <w:rsid w:val="3ABD62F0"/>
    <w:rsid w:val="3B057795"/>
    <w:rsid w:val="3B3F598A"/>
    <w:rsid w:val="3D47022C"/>
    <w:rsid w:val="3DE25B6C"/>
    <w:rsid w:val="3EA61798"/>
    <w:rsid w:val="421A1631"/>
    <w:rsid w:val="43F57829"/>
    <w:rsid w:val="48CC011E"/>
    <w:rsid w:val="496D7B7C"/>
    <w:rsid w:val="4A3D4856"/>
    <w:rsid w:val="4B08477A"/>
    <w:rsid w:val="4C3D3B4B"/>
    <w:rsid w:val="4CC805CD"/>
    <w:rsid w:val="4D5A3970"/>
    <w:rsid w:val="4ED41501"/>
    <w:rsid w:val="4F2D7DF8"/>
    <w:rsid w:val="4F3A6EF7"/>
    <w:rsid w:val="509D10BF"/>
    <w:rsid w:val="50A8493D"/>
    <w:rsid w:val="51BD2EC4"/>
    <w:rsid w:val="52F263F9"/>
    <w:rsid w:val="53571680"/>
    <w:rsid w:val="543C792C"/>
    <w:rsid w:val="54FB7ED4"/>
    <w:rsid w:val="57612238"/>
    <w:rsid w:val="57C92DFC"/>
    <w:rsid w:val="58070395"/>
    <w:rsid w:val="5AD92379"/>
    <w:rsid w:val="5AFC1BC3"/>
    <w:rsid w:val="5BEF797A"/>
    <w:rsid w:val="5CF71A45"/>
    <w:rsid w:val="5FBD1A68"/>
    <w:rsid w:val="604A555C"/>
    <w:rsid w:val="60A32AE1"/>
    <w:rsid w:val="62AB4F46"/>
    <w:rsid w:val="631A52DC"/>
    <w:rsid w:val="63616C45"/>
    <w:rsid w:val="64F953C5"/>
    <w:rsid w:val="65633C2E"/>
    <w:rsid w:val="65A82999"/>
    <w:rsid w:val="67E253E0"/>
    <w:rsid w:val="68B336C4"/>
    <w:rsid w:val="694C01BA"/>
    <w:rsid w:val="6B1A63C4"/>
    <w:rsid w:val="6CE56F38"/>
    <w:rsid w:val="6D065460"/>
    <w:rsid w:val="6D4C69DA"/>
    <w:rsid w:val="6D9C2B72"/>
    <w:rsid w:val="70090BB2"/>
    <w:rsid w:val="714D6CDE"/>
    <w:rsid w:val="71FB53B9"/>
    <w:rsid w:val="72920FDA"/>
    <w:rsid w:val="73106CE2"/>
    <w:rsid w:val="73861F99"/>
    <w:rsid w:val="73FE6554"/>
    <w:rsid w:val="740F504C"/>
    <w:rsid w:val="75AD663E"/>
    <w:rsid w:val="763344F7"/>
    <w:rsid w:val="76E820CF"/>
    <w:rsid w:val="777F111D"/>
    <w:rsid w:val="77AF64E3"/>
    <w:rsid w:val="79A47A8F"/>
    <w:rsid w:val="79ED1916"/>
    <w:rsid w:val="7D702296"/>
    <w:rsid w:val="7D80447E"/>
    <w:rsid w:val="7D8B0738"/>
    <w:rsid w:val="7DA774A7"/>
    <w:rsid w:val="7E1E7F1F"/>
    <w:rsid w:val="7E926217"/>
    <w:rsid w:val="7EC9775F"/>
    <w:rsid w:val="7F3410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3"/>
    <w:basedOn w:val="1"/>
    <w:next w:val="1"/>
    <w:qFormat/>
    <w:uiPriority w:val="0"/>
    <w:pPr>
      <w:spacing w:before="0" w:beforeAutospacing="1" w:after="0" w:afterAutospacing="1"/>
      <w:jc w:val="left"/>
    </w:pPr>
    <w:rPr>
      <w:rFonts w:hint="eastAsia" w:ascii="宋体" w:hAnsi="宋体" w:eastAsia="宋体" w:cs="宋体"/>
      <w:b/>
      <w:bCs/>
      <w:kern w:val="0"/>
      <w:sz w:val="27"/>
      <w:szCs w:val="27"/>
      <w:lang w:val="en-US" w:eastAsia="zh-CN"/>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hAnsi="仿宋_GB2312" w:eastAsia="仿宋_GB2312" w:cs="仿宋_GB2312"/>
      <w:sz w:val="32"/>
      <w:szCs w:val="32"/>
      <w:lang w:val="zh-CN"/>
    </w:rPr>
  </w:style>
  <w:style w:type="paragraph" w:styleId="5">
    <w:name w:val="Normal Indent"/>
    <w:basedOn w:val="1"/>
    <w:qFormat/>
    <w:uiPriority w:val="0"/>
    <w:pPr>
      <w:ind w:firstLine="420" w:firstLineChars="200"/>
    </w:pPr>
  </w:style>
  <w:style w:type="paragraph" w:styleId="6">
    <w:name w:val="endnote text"/>
    <w:basedOn w:val="1"/>
    <w:qFormat/>
    <w:uiPriority w:val="0"/>
    <w:pPr>
      <w:snapToGrid w:val="0"/>
      <w:jc w:val="left"/>
    </w:pPr>
  </w:style>
  <w:style w:type="paragraph" w:styleId="7">
    <w:name w:val="Balloon Text"/>
    <w:basedOn w:val="1"/>
    <w:link w:val="16"/>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character" w:styleId="13">
    <w:name w:val="Strong"/>
    <w:basedOn w:val="12"/>
    <w:qFormat/>
    <w:uiPriority w:val="0"/>
    <w:rPr>
      <w:b/>
    </w:rPr>
  </w:style>
  <w:style w:type="character" w:styleId="14">
    <w:name w:val="endnote reference"/>
    <w:basedOn w:val="12"/>
    <w:qFormat/>
    <w:uiPriority w:val="0"/>
    <w:rPr>
      <w:vertAlign w:val="superscript"/>
    </w:rPr>
  </w:style>
  <w:style w:type="paragraph" w:customStyle="1" w:styleId="15">
    <w:name w:val="p0"/>
    <w:basedOn w:val="1"/>
    <w:qFormat/>
    <w:uiPriority w:val="0"/>
    <w:pPr>
      <w:widowControl/>
      <w:spacing w:before="100" w:beforeAutospacing="1" w:after="100" w:afterAutospacing="1"/>
      <w:jc w:val="left"/>
    </w:pPr>
    <w:rPr>
      <w:rFonts w:ascii="宋体" w:hAnsi="宋体"/>
      <w:kern w:val="0"/>
      <w:sz w:val="24"/>
    </w:rPr>
  </w:style>
  <w:style w:type="character" w:customStyle="1" w:styleId="16">
    <w:name w:val="批注框文本 Char"/>
    <w:basedOn w:val="12"/>
    <w:link w:val="7"/>
    <w:qFormat/>
    <w:uiPriority w:val="0"/>
    <w:rPr>
      <w:rFonts w:ascii="Calibri" w:hAnsi="Calibri" w:cs="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14523</Words>
  <Characters>14877</Characters>
  <Lines>57</Lines>
  <Paragraphs>16</Paragraphs>
  <TotalTime>53</TotalTime>
  <ScaleCrop>false</ScaleCrop>
  <LinksUpToDate>false</LinksUpToDate>
  <CharactersWithSpaces>14882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2023-01-06T08:05:00Z</dcterms:created>
  <dc:creator>办公室</dc:creator>
  <cp:lastModifiedBy>云377586</cp:lastModifiedBy>
  <cp:lastPrinted>2023-02-01T01:49:00Z</cp:lastPrinted>
  <dcterms:modified xsi:type="dcterms:W3CDTF">2023-02-02T07:31:07Z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A9E24C36089D4A16A8518F3A65241A2C</vt:lpwstr>
  </property>
</Properties>
</file>