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bCs/>
          <w:sz w:val="44"/>
          <w:szCs w:val="44"/>
          <w:u w:val="none"/>
          <w:lang w:val="en-US" w:eastAsia="zh-CN"/>
        </w:rPr>
        <w:t>巴彦淖尔市临河区</w:t>
      </w:r>
      <w:bookmarkStart w:id="0" w:name="_Toc11076"/>
      <w:bookmarkStart w:id="1" w:name="_Toc76683343"/>
      <w:r>
        <w:rPr>
          <w:rFonts w:hint="eastAsia" w:ascii="方正小标宋简体" w:hAnsi="方正小标宋简体" w:eastAsia="方正小标宋简体" w:cs="方正小标宋简体"/>
          <w:bCs/>
          <w:sz w:val="44"/>
          <w:szCs w:val="44"/>
          <w:u w:val="none"/>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u w:val="none"/>
        </w:rPr>
      </w:pPr>
      <w:bookmarkStart w:id="2" w:name="_Toc76683344"/>
      <w:r>
        <w:rPr>
          <w:rFonts w:hint="eastAsia" w:hAnsi="方正小标宋简体" w:eastAsia="方正小标宋简体" w:cs="方正小标宋简体"/>
          <w:sz w:val="44"/>
          <w:szCs w:val="44"/>
          <w:u w:val="none"/>
          <w:lang w:val="en-US"/>
        </w:rPr>
        <w:t>行政处罚告知书</w:t>
      </w:r>
      <w:bookmarkEnd w:id="2"/>
    </w:p>
    <w:p>
      <w:pPr>
        <w:spacing w:line="560" w:lineRule="exact"/>
        <w:jc w:val="center"/>
        <w:outlineLvl w:val="1"/>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巴临</w:t>
      </w:r>
      <w:r>
        <w:rPr>
          <w:rFonts w:hint="eastAsia" w:ascii="仿宋" w:hAnsi="仿宋" w:eastAsia="仿宋" w:cs="仿宋"/>
          <w:sz w:val="32"/>
          <w:szCs w:val="32"/>
          <w:u w:val="none"/>
        </w:rPr>
        <w:t>市监</w:t>
      </w:r>
      <w:r>
        <w:rPr>
          <w:rFonts w:hint="eastAsia" w:ascii="仿宋" w:hAnsi="仿宋" w:eastAsia="仿宋" w:cs="仿宋"/>
          <w:sz w:val="32"/>
          <w:szCs w:val="32"/>
          <w:u w:val="none"/>
          <w:lang w:eastAsia="zh-CN"/>
        </w:rPr>
        <w:t>处</w:t>
      </w:r>
      <w:r>
        <w:rPr>
          <w:rFonts w:hint="eastAsia" w:ascii="仿宋" w:hAnsi="仿宋" w:eastAsia="仿宋" w:cs="仿宋"/>
          <w:sz w:val="32"/>
          <w:szCs w:val="32"/>
          <w:u w:val="none"/>
        </w:rPr>
        <w:t>罚</w:t>
      </w:r>
      <w:r>
        <w:rPr>
          <w:rFonts w:hint="eastAsia" w:ascii="仿宋" w:hAnsi="仿宋" w:eastAsia="仿宋" w:cs="仿宋"/>
          <w:sz w:val="32"/>
          <w:szCs w:val="32"/>
          <w:u w:val="none"/>
          <w:lang w:eastAsia="zh-CN"/>
        </w:rPr>
        <w:t>吊</w:t>
      </w:r>
      <w:r>
        <w:rPr>
          <w:rFonts w:hint="eastAsia" w:ascii="仿宋" w:hAnsi="仿宋" w:eastAsia="仿宋" w:cs="仿宋"/>
          <w:sz w:val="32"/>
          <w:szCs w:val="32"/>
          <w:u w:val="none"/>
        </w:rPr>
        <w:t xml:space="preserve">告〔 </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 xml:space="preserve"> 〕 </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号</w:t>
      </w:r>
    </w:p>
    <w:p>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000000"/>
          <w:sz w:val="32"/>
          <w:szCs w:val="32"/>
        </w:rPr>
        <w:t>巴彦淖尔市锐通房地产开发有限责任公司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48户内资企业</w:t>
      </w:r>
      <w:r>
        <w:rPr>
          <w:rFonts w:hint="eastAsia" w:ascii="仿宋" w:hAnsi="仿宋" w:eastAsia="仿宋" w:cs="仿宋"/>
          <w:sz w:val="32"/>
          <w:szCs w:val="32"/>
          <w:u w:val="none"/>
          <w:lang w:val="en-US" w:eastAsia="zh-CN"/>
        </w:rPr>
        <w:t>(名单附后)（以下简称：当事人）</w:t>
      </w:r>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u w:val="none"/>
        </w:rPr>
        <w:t>由本局立案调查的</w:t>
      </w:r>
      <w:r>
        <w:rPr>
          <w:rFonts w:hint="eastAsia" w:ascii="仿宋" w:hAnsi="仿宋" w:eastAsia="仿宋" w:cs="仿宋"/>
          <w:b w:val="0"/>
          <w:bCs w:val="0"/>
          <w:sz w:val="32"/>
          <w:szCs w:val="32"/>
          <w:u w:val="none"/>
          <w:lang w:val="en-US" w:eastAsia="zh-CN"/>
        </w:rPr>
        <w:t>当事人</w:t>
      </w:r>
      <w:r>
        <w:rPr>
          <w:rFonts w:hint="eastAsia" w:ascii="仿宋" w:hAnsi="仿宋" w:eastAsia="仿宋" w:cs="仿宋"/>
          <w:b w:val="0"/>
          <w:bCs w:val="0"/>
          <w:color w:val="auto"/>
          <w:sz w:val="32"/>
          <w:szCs w:val="32"/>
          <w:u w:val="none"/>
        </w:rPr>
        <w:t>涉嫌</w:t>
      </w:r>
      <w:r>
        <w:rPr>
          <w:rFonts w:hint="eastAsia" w:ascii="仿宋" w:hAnsi="仿宋" w:eastAsia="仿宋" w:cs="仿宋"/>
          <w:b w:val="0"/>
          <w:bCs w:val="0"/>
          <w:color w:val="auto"/>
          <w:sz w:val="32"/>
          <w:szCs w:val="32"/>
          <w:u w:val="none"/>
          <w:lang w:eastAsia="zh-CN"/>
        </w:rPr>
        <w:t>连续2年未按规定报送年度报告被列入经营异常名录未改正且通过登记的住所或者经营场所无法取得联系</w:t>
      </w:r>
      <w:r>
        <w:rPr>
          <w:rFonts w:hint="eastAsia" w:ascii="仿宋" w:hAnsi="仿宋" w:eastAsia="仿宋" w:cs="仿宋"/>
          <w:b w:val="0"/>
          <w:bCs w:val="0"/>
          <w:color w:val="auto"/>
          <w:sz w:val="32"/>
          <w:szCs w:val="32"/>
          <w:u w:val="none"/>
        </w:rPr>
        <w:t>一案，</w:t>
      </w:r>
      <w:r>
        <w:rPr>
          <w:rFonts w:hint="eastAsia" w:ascii="仿宋" w:hAnsi="仿宋" w:eastAsia="仿宋" w:cs="仿宋"/>
          <w:color w:val="auto"/>
          <w:sz w:val="32"/>
          <w:szCs w:val="32"/>
          <w:u w:val="none"/>
        </w:rPr>
        <w:t>已调查终结。依据《中华人民共和国行政处罚法》第</w:t>
      </w:r>
      <w:r>
        <w:rPr>
          <w:rFonts w:hint="eastAsia" w:ascii="仿宋" w:hAnsi="仿宋" w:eastAsia="仿宋" w:cs="仿宋"/>
          <w:color w:val="auto"/>
          <w:sz w:val="32"/>
          <w:szCs w:val="32"/>
          <w:u w:val="none"/>
          <w:lang w:eastAsia="zh-CN"/>
        </w:rPr>
        <w:t>四十四</w:t>
      </w:r>
      <w:r>
        <w:rPr>
          <w:rFonts w:hint="eastAsia" w:ascii="仿宋" w:hAnsi="仿宋" w:eastAsia="仿宋" w:cs="仿宋"/>
          <w:color w:val="auto"/>
          <w:sz w:val="32"/>
          <w:szCs w:val="32"/>
          <w:u w:val="none"/>
        </w:rPr>
        <w:t>条的规定，现将本局拟作出行政处罚的</w:t>
      </w:r>
      <w:r>
        <w:rPr>
          <w:rFonts w:hint="eastAsia" w:ascii="仿宋" w:hAnsi="仿宋" w:eastAsia="仿宋" w:cs="仿宋"/>
          <w:color w:val="auto"/>
          <w:sz w:val="32"/>
          <w:szCs w:val="32"/>
          <w:u w:val="none"/>
          <w:lang w:eastAsia="zh-CN"/>
        </w:rPr>
        <w:t>内容及</w:t>
      </w:r>
      <w:r>
        <w:rPr>
          <w:rFonts w:hint="eastAsia" w:ascii="仿宋" w:hAnsi="仿宋" w:eastAsia="仿宋" w:cs="仿宋"/>
          <w:color w:val="auto"/>
          <w:sz w:val="32"/>
          <w:szCs w:val="32"/>
          <w:u w:val="none"/>
        </w:rPr>
        <w:t>事实、理由、依据告知如下：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u w:val="none"/>
        </w:rPr>
        <w:t>经查：</w:t>
      </w:r>
      <w:r>
        <w:rPr>
          <w:rFonts w:hint="eastAsia" w:ascii="仿宋" w:hAnsi="仿宋" w:eastAsia="仿宋" w:cs="仿宋"/>
          <w:sz w:val="32"/>
          <w:szCs w:val="32"/>
          <w:u w:val="none"/>
          <w:lang w:val="en-US" w:eastAsia="zh-CN"/>
        </w:rPr>
        <w:t>当事人2023年度、2024年度连续2年未按规定报送年度报告被列入经营异常名录未改正。我局于2026年1月23日开始第一次对</w:t>
      </w:r>
      <w:r>
        <w:rPr>
          <w:rFonts w:hint="eastAsia" w:ascii="仿宋" w:hAnsi="仿宋" w:eastAsia="仿宋" w:cs="仿宋"/>
          <w:color w:val="000000"/>
          <w:sz w:val="32"/>
          <w:szCs w:val="32"/>
        </w:rPr>
        <w:t>巴彦淖尔市锐通房地产开发有限责任公司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48户内资企业</w:t>
      </w:r>
      <w:r>
        <w:rPr>
          <w:rFonts w:hint="eastAsia" w:ascii="仿宋" w:hAnsi="仿宋" w:eastAsia="仿宋" w:cs="仿宋"/>
          <w:sz w:val="32"/>
          <w:szCs w:val="32"/>
          <w:u w:val="none"/>
          <w:lang w:val="en-US" w:eastAsia="zh-CN"/>
        </w:rPr>
        <w:t>登记的住所或经营场所邮寄挂号信进行场地核查，当事人登记的住所或经营场所均无人签收；我局于2026年2月11日第二次对</w:t>
      </w:r>
      <w:r>
        <w:rPr>
          <w:rFonts w:hint="eastAsia" w:ascii="仿宋" w:hAnsi="仿宋" w:eastAsia="仿宋" w:cs="仿宋"/>
          <w:color w:val="000000"/>
          <w:sz w:val="32"/>
          <w:szCs w:val="32"/>
        </w:rPr>
        <w:t>巴彦淖尔市锐通房地产开发有限责任公司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48户内资企业</w:t>
      </w:r>
      <w:r>
        <w:rPr>
          <w:rFonts w:hint="eastAsia" w:ascii="仿宋" w:hAnsi="仿宋" w:eastAsia="仿宋" w:cs="仿宋"/>
          <w:sz w:val="32"/>
          <w:szCs w:val="32"/>
          <w:u w:val="none"/>
          <w:lang w:val="en-US" w:eastAsia="zh-CN"/>
        </w:rPr>
        <w:t>登记的住所或经营场所邮寄挂号信进行场地核查，当事人登记的住所或经营场所仍无人签收；两次场地核查邮寄的挂号信间隔时间均不少于15日，不超过30日，当事人登记的住所或经营场所均无人签收。依据《企业经营异常名录管理暂行办法》第九条第二款“工商行政管理部门可以通过邮寄专用信函的方式与企业联系。经向企业登记的住所或者经营场所两次邮寄无人签收的，视为通过登记的住所或经营场所无法取得联系。两次邮寄间隔时间不得少于15日，不得超过30日”之规定，认定当事人为通过登记的住所或经营场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sz w:val="32"/>
          <w:szCs w:val="32"/>
          <w:u w:val="none"/>
          <w:lang w:val="en-US" w:eastAsia="zh-CN"/>
        </w:rPr>
        <w:t>当事人</w:t>
      </w:r>
      <w:r>
        <w:rPr>
          <w:rFonts w:hint="eastAsia" w:ascii="仿宋" w:hAnsi="仿宋" w:eastAsia="仿宋" w:cs="仿宋"/>
          <w:color w:val="auto"/>
          <w:sz w:val="32"/>
          <w:szCs w:val="32"/>
          <w:u w:val="none"/>
          <w:lang w:eastAsia="zh-CN"/>
        </w:rPr>
        <w:t xml:space="preserve">的行为涉嫌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涉嫌构成连续2年未按规定报送年度报告被列入经营异常名录未改正且通过登记的住所或者经营场所无法取得联系的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拟对当事人给予行政处罚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    1.吊销营业执照。                                                                 </w:t>
      </w:r>
    </w:p>
    <w:p>
      <w:pPr>
        <w:keepNext w:val="0"/>
        <w:keepLines w:val="0"/>
        <w:pageBreakBefore w:val="0"/>
        <w:widowControl w:val="0"/>
        <w:kinsoku/>
        <w:wordWrap/>
        <w:overflowPunct/>
        <w:topLinePunct w:val="0"/>
        <w:autoSpaceDE/>
        <w:autoSpaceDN/>
        <w:bidi w:val="0"/>
        <w:adjustRightInd/>
        <w:snapToGrid/>
        <w:spacing w:before="105" w:line="560" w:lineRule="exact"/>
        <w:ind w:left="32" w:right="17" w:firstLine="674"/>
        <w:jc w:val="both"/>
        <w:textAlignment w:val="auto"/>
        <w:rPr>
          <w:rFonts w:hint="eastAsia" w:ascii="仿宋" w:hAnsi="仿宋" w:eastAsia="仿宋" w:cs="仿宋"/>
          <w:color w:val="auto"/>
          <w:sz w:val="32"/>
          <w:szCs w:val="32"/>
          <w:u w:val="none"/>
        </w:rPr>
      </w:pPr>
      <w:r>
        <w:rPr>
          <w:rFonts w:hint="eastAsia" w:ascii="仿宋" w:hAnsi="仿宋" w:eastAsia="仿宋" w:cs="仿宋"/>
          <w:color w:val="auto"/>
          <w:spacing w:val="-10"/>
          <w:sz w:val="32"/>
          <w:szCs w:val="32"/>
          <w:u w:val="none"/>
          <w:lang w:eastAsia="zh-CN"/>
        </w:rPr>
        <w:sym w:font="Wingdings 2" w:char="00A3"/>
      </w:r>
      <w:r>
        <w:rPr>
          <w:rFonts w:hint="eastAsia" w:ascii="仿宋" w:hAnsi="仿宋" w:eastAsia="仿宋" w:cs="仿宋"/>
          <w:color w:val="auto"/>
          <w:spacing w:val="-10"/>
          <w:sz w:val="32"/>
          <w:szCs w:val="32"/>
          <w:u w:val="none"/>
        </w:rPr>
        <w:t>依据《中华人民共和国行政处罚法》第四十四条、第</w:t>
      </w:r>
      <w:r>
        <w:rPr>
          <w:rFonts w:hint="eastAsia" w:ascii="仿宋" w:hAnsi="仿宋" w:eastAsia="仿宋" w:cs="仿宋"/>
          <w:color w:val="auto"/>
          <w:spacing w:val="-8"/>
          <w:sz w:val="32"/>
          <w:szCs w:val="32"/>
          <w:u w:val="none"/>
        </w:rPr>
        <w:t>四十五条，以及《市场监督管理行政处罚程序规定》第五十</w:t>
      </w:r>
      <w:r>
        <w:rPr>
          <w:rFonts w:hint="eastAsia" w:ascii="仿宋" w:hAnsi="仿宋" w:eastAsia="仿宋" w:cs="仿宋"/>
          <w:color w:val="auto"/>
          <w:spacing w:val="-13"/>
          <w:sz w:val="32"/>
          <w:szCs w:val="32"/>
          <w:u w:val="none"/>
        </w:rPr>
        <w:t>七条的规定，你（单位）有权进行陈述、</w:t>
      </w:r>
      <w:r>
        <w:rPr>
          <w:rFonts w:hint="eastAsia" w:ascii="仿宋" w:hAnsi="仿宋" w:eastAsia="仿宋" w:cs="仿宋"/>
          <w:color w:val="auto"/>
          <w:spacing w:val="-95"/>
          <w:sz w:val="32"/>
          <w:szCs w:val="32"/>
          <w:u w:val="none"/>
        </w:rPr>
        <w:t xml:space="preserve"> </w:t>
      </w:r>
      <w:r>
        <w:rPr>
          <w:rFonts w:hint="eastAsia" w:ascii="仿宋" w:hAnsi="仿宋" w:eastAsia="仿宋" w:cs="仿宋"/>
          <w:color w:val="auto"/>
          <w:spacing w:val="-13"/>
          <w:sz w:val="32"/>
          <w:szCs w:val="32"/>
          <w:u w:val="none"/>
        </w:rPr>
        <w:t>申辩。</w:t>
      </w:r>
      <w:r>
        <w:rPr>
          <w:rFonts w:hint="eastAsia" w:ascii="仿宋" w:hAnsi="仿宋" w:eastAsia="仿宋" w:cs="仿宋"/>
          <w:color w:val="auto"/>
          <w:spacing w:val="-71"/>
          <w:sz w:val="32"/>
          <w:szCs w:val="32"/>
          <w:u w:val="none"/>
        </w:rPr>
        <w:t xml:space="preserve"> </w:t>
      </w:r>
      <w:r>
        <w:rPr>
          <w:rFonts w:hint="eastAsia" w:ascii="仿宋" w:hAnsi="仿宋" w:eastAsia="仿宋" w:cs="仿宋"/>
          <w:color w:val="auto"/>
          <w:spacing w:val="-13"/>
          <w:sz w:val="32"/>
          <w:szCs w:val="32"/>
          <w:u w:val="none"/>
        </w:rPr>
        <w:t>自收到本告</w:t>
      </w:r>
      <w:r>
        <w:rPr>
          <w:rFonts w:hint="eastAsia" w:ascii="仿宋" w:hAnsi="仿宋" w:eastAsia="仿宋" w:cs="仿宋"/>
          <w:color w:val="auto"/>
          <w:spacing w:val="-2"/>
          <w:sz w:val="32"/>
          <w:szCs w:val="32"/>
          <w:u w:val="none"/>
        </w:rPr>
        <w:t>知书之日起五个工作日内未行使陈述、申辩权的，视为放弃</w:t>
      </w:r>
      <w:r>
        <w:rPr>
          <w:rFonts w:hint="eastAsia" w:ascii="仿宋" w:hAnsi="仿宋" w:eastAsia="仿宋" w:cs="仿宋"/>
          <w:color w:val="auto"/>
          <w:spacing w:val="-5"/>
          <w:sz w:val="32"/>
          <w:szCs w:val="32"/>
          <w:u w:val="none"/>
        </w:rPr>
        <w:t>此权利。</w:t>
      </w:r>
    </w:p>
    <w:p>
      <w:pPr>
        <w:keepNext w:val="0"/>
        <w:keepLines w:val="0"/>
        <w:pageBreakBefore w:val="0"/>
        <w:widowControl w:val="0"/>
        <w:kinsoku/>
        <w:wordWrap/>
        <w:overflowPunct/>
        <w:topLinePunct w:val="0"/>
        <w:autoSpaceDE/>
        <w:autoSpaceDN/>
        <w:bidi w:val="0"/>
        <w:adjustRightInd/>
        <w:snapToGrid/>
        <w:spacing w:before="5" w:line="560" w:lineRule="exact"/>
        <w:ind w:left="28" w:right="17" w:firstLine="678"/>
        <w:jc w:val="both"/>
        <w:textAlignment w:val="auto"/>
        <w:rPr>
          <w:rFonts w:hint="eastAsia" w:ascii="仿宋" w:hAnsi="仿宋" w:eastAsia="仿宋" w:cs="仿宋"/>
          <w:color w:val="auto"/>
          <w:w w:val="95"/>
          <w:sz w:val="32"/>
          <w:szCs w:val="32"/>
          <w:u w:val="none"/>
        </w:rPr>
      </w:pPr>
      <w:r>
        <w:rPr>
          <w:rFonts w:hint="eastAsia" w:ascii="仿宋" w:hAnsi="仿宋" w:eastAsia="仿宋" w:cs="仿宋"/>
          <w:color w:val="auto"/>
          <w:spacing w:val="-10"/>
          <w:w w:val="95"/>
          <w:sz w:val="32"/>
          <w:szCs w:val="32"/>
          <w:u w:val="none"/>
          <w:lang w:eastAsia="zh-CN"/>
        </w:rPr>
        <w:sym w:font="Wingdings 2" w:char="0052"/>
      </w:r>
      <w:r>
        <w:rPr>
          <w:rFonts w:hint="eastAsia" w:ascii="仿宋" w:hAnsi="仿宋" w:eastAsia="仿宋" w:cs="仿宋"/>
          <w:color w:val="auto"/>
          <w:spacing w:val="-10"/>
          <w:w w:val="95"/>
          <w:sz w:val="32"/>
          <w:szCs w:val="32"/>
          <w:u w:val="none"/>
        </w:rPr>
        <w:t>依据《中华人民共和国行政处罚法》第四十四条、第</w:t>
      </w:r>
      <w:r>
        <w:rPr>
          <w:rFonts w:hint="eastAsia" w:ascii="仿宋" w:hAnsi="仿宋" w:eastAsia="仿宋" w:cs="仿宋"/>
          <w:color w:val="auto"/>
          <w:spacing w:val="-2"/>
          <w:w w:val="95"/>
          <w:sz w:val="32"/>
          <w:szCs w:val="32"/>
          <w:u w:val="none"/>
        </w:rPr>
        <w:t>四十五条、第六十三条、第六十四条第一项，以及《市场监</w:t>
      </w:r>
      <w:r>
        <w:rPr>
          <w:rFonts w:hint="eastAsia" w:ascii="仿宋" w:hAnsi="仿宋" w:eastAsia="仿宋" w:cs="仿宋"/>
          <w:color w:val="auto"/>
          <w:spacing w:val="-8"/>
          <w:w w:val="95"/>
          <w:sz w:val="32"/>
          <w:szCs w:val="32"/>
          <w:u w:val="none"/>
        </w:rPr>
        <w:t>督管理行政处罚听证办法》第五条第一款第二项的</w:t>
      </w:r>
      <w:r>
        <w:rPr>
          <w:rFonts w:hint="eastAsia" w:ascii="仿宋" w:hAnsi="仿宋" w:eastAsia="仿宋" w:cs="仿宋"/>
          <w:color w:val="auto"/>
          <w:spacing w:val="-10"/>
          <w:w w:val="95"/>
          <w:sz w:val="32"/>
          <w:szCs w:val="32"/>
          <w:u w:val="none"/>
        </w:rPr>
        <w:t>规定，</w:t>
      </w:r>
      <w:r>
        <w:rPr>
          <w:rFonts w:hint="eastAsia" w:ascii="仿宋" w:hAnsi="仿宋" w:eastAsia="仿宋" w:cs="仿宋"/>
          <w:color w:val="auto"/>
          <w:spacing w:val="1"/>
          <w:w w:val="95"/>
          <w:sz w:val="32"/>
          <w:szCs w:val="32"/>
          <w:u w:val="none"/>
        </w:rPr>
        <w:t xml:space="preserve"> </w:t>
      </w:r>
      <w:r>
        <w:rPr>
          <w:rFonts w:hint="eastAsia" w:ascii="仿宋" w:hAnsi="仿宋" w:eastAsia="仿宋" w:cs="仿宋"/>
          <w:sz w:val="32"/>
          <w:szCs w:val="32"/>
          <w:u w:val="none"/>
          <w:lang w:val="en-US" w:eastAsia="zh-CN"/>
        </w:rPr>
        <w:t>当事人</w:t>
      </w:r>
      <w:r>
        <w:rPr>
          <w:rFonts w:hint="eastAsia" w:ascii="仿宋" w:hAnsi="仿宋" w:eastAsia="仿宋" w:cs="仿宋"/>
          <w:color w:val="auto"/>
          <w:spacing w:val="-10"/>
          <w:w w:val="95"/>
          <w:sz w:val="32"/>
          <w:szCs w:val="32"/>
          <w:u w:val="none"/>
        </w:rPr>
        <w:t>有权进行陈述、</w:t>
      </w:r>
      <w:r>
        <w:rPr>
          <w:rFonts w:hint="eastAsia" w:ascii="仿宋" w:hAnsi="仿宋" w:eastAsia="仿宋" w:cs="仿宋"/>
          <w:color w:val="auto"/>
          <w:spacing w:val="-93"/>
          <w:w w:val="95"/>
          <w:sz w:val="32"/>
          <w:szCs w:val="32"/>
          <w:u w:val="none"/>
        </w:rPr>
        <w:t xml:space="preserve"> </w:t>
      </w:r>
      <w:r>
        <w:rPr>
          <w:rFonts w:hint="eastAsia" w:ascii="仿宋" w:hAnsi="仿宋" w:eastAsia="仿宋" w:cs="仿宋"/>
          <w:color w:val="auto"/>
          <w:spacing w:val="-10"/>
          <w:w w:val="95"/>
          <w:sz w:val="32"/>
          <w:szCs w:val="32"/>
          <w:u w:val="none"/>
        </w:rPr>
        <w:t>申辩，并可以要求听证。</w:t>
      </w:r>
      <w:r>
        <w:rPr>
          <w:rFonts w:hint="eastAsia" w:ascii="仿宋" w:hAnsi="仿宋" w:eastAsia="仿宋" w:cs="仿宋"/>
          <w:color w:val="auto"/>
          <w:spacing w:val="-4"/>
          <w:w w:val="95"/>
          <w:sz w:val="32"/>
          <w:szCs w:val="32"/>
          <w:u w:val="none"/>
        </w:rPr>
        <w:t>自收到本告知书之日起五个工作日内未行使陈述、</w:t>
      </w:r>
      <w:r>
        <w:rPr>
          <w:rFonts w:hint="eastAsia" w:ascii="仿宋" w:hAnsi="仿宋" w:eastAsia="仿宋" w:cs="仿宋"/>
          <w:color w:val="auto"/>
          <w:spacing w:val="-88"/>
          <w:w w:val="95"/>
          <w:sz w:val="32"/>
          <w:szCs w:val="32"/>
          <w:u w:val="none"/>
        </w:rPr>
        <w:t xml:space="preserve"> </w:t>
      </w:r>
      <w:r>
        <w:rPr>
          <w:rFonts w:hint="eastAsia" w:ascii="仿宋" w:hAnsi="仿宋" w:eastAsia="仿宋" w:cs="仿宋"/>
          <w:color w:val="auto"/>
          <w:spacing w:val="-4"/>
          <w:w w:val="95"/>
          <w:sz w:val="32"/>
          <w:szCs w:val="32"/>
          <w:u w:val="none"/>
        </w:rPr>
        <w:t>申辩权，</w:t>
      </w:r>
      <w:r>
        <w:rPr>
          <w:rFonts w:hint="eastAsia" w:ascii="仿宋" w:hAnsi="仿宋" w:eastAsia="仿宋" w:cs="仿宋"/>
          <w:color w:val="auto"/>
          <w:spacing w:val="-1"/>
          <w:w w:val="95"/>
          <w:sz w:val="32"/>
          <w:szCs w:val="32"/>
          <w:u w:val="none"/>
        </w:rPr>
        <w:t>未要求听证的，视为放弃此权利。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u w:val="none"/>
        </w:rPr>
        <w:t xml:space="preserve">联系人： </w:t>
      </w:r>
      <w:r>
        <w:rPr>
          <w:rFonts w:hint="eastAsia" w:ascii="仿宋" w:hAnsi="仿宋" w:eastAsia="仿宋" w:cs="仿宋"/>
          <w:color w:val="auto"/>
          <w:sz w:val="32"/>
          <w:szCs w:val="32"/>
          <w:u w:val="none"/>
          <w:lang w:eastAsia="zh-CN"/>
        </w:rPr>
        <w:t>梁平</w:t>
      </w:r>
      <w:r>
        <w:rPr>
          <w:rFonts w:hint="eastAsia" w:ascii="仿宋" w:hAnsi="仿宋" w:eastAsia="仿宋" w:cs="仿宋"/>
          <w:color w:val="auto"/>
          <w:sz w:val="32"/>
          <w:szCs w:val="32"/>
          <w:u w:val="none"/>
          <w:lang w:val="en-US" w:eastAsia="zh-CN"/>
        </w:rPr>
        <w:t>、范宇宁</w:t>
      </w:r>
      <w:r>
        <w:rPr>
          <w:rFonts w:hint="eastAsia" w:ascii="仿宋" w:hAnsi="仿宋" w:eastAsia="仿宋" w:cs="仿宋"/>
          <w:color w:val="auto"/>
          <w:sz w:val="32"/>
          <w:szCs w:val="32"/>
          <w:u w:val="none"/>
        </w:rPr>
        <w:t xml:space="preserve">  联系电话：</w:t>
      </w:r>
      <w:r>
        <w:rPr>
          <w:rFonts w:hint="eastAsia" w:ascii="仿宋" w:hAnsi="仿宋" w:eastAsia="仿宋" w:cs="仿宋"/>
          <w:color w:val="auto"/>
          <w:sz w:val="32"/>
          <w:szCs w:val="32"/>
          <w:u w:val="none"/>
          <w:lang w:val="en-US" w:eastAsia="zh-CN"/>
        </w:rPr>
        <w:t xml:space="preserve">0478-8766299 </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 w:hAnsi="仿宋" w:eastAsia="仿宋" w:cs="仿宋"/>
          <w:sz w:val="32"/>
          <w:szCs w:val="32"/>
          <w:u w:val="none"/>
        </w:rPr>
      </w:pPr>
      <w:r>
        <w:rPr>
          <w:rFonts w:hint="eastAsia" w:ascii="仿宋" w:hAnsi="仿宋" w:eastAsia="仿宋" w:cs="仿宋"/>
          <w:color w:val="auto"/>
          <w:sz w:val="32"/>
          <w:szCs w:val="32"/>
          <w:u w:val="none"/>
          <w:lang w:eastAsia="zh-CN"/>
        </w:rPr>
        <w:t>联系地址：</w:t>
      </w:r>
      <w:r>
        <w:rPr>
          <w:rFonts w:hint="eastAsia" w:ascii="仿宋" w:hAnsi="仿宋" w:eastAsia="仿宋" w:cs="仿宋"/>
          <w:sz w:val="32"/>
          <w:szCs w:val="32"/>
          <w:u w:val="none"/>
          <w:lang w:val="en-US" w:eastAsia="zh-CN"/>
        </w:rPr>
        <w:t>内蒙古巴彦淖尔市临河区开源路民主街6号</w:t>
      </w:r>
      <w:r>
        <w:rPr>
          <w:rFonts w:hint="eastAsia" w:ascii="仿宋" w:hAnsi="仿宋" w:eastAsia="仿宋" w:cs="仿宋"/>
          <w:color w:val="auto"/>
          <w:sz w:val="32"/>
          <w:szCs w:val="32"/>
          <w:u w:val="none"/>
          <w:lang w:val="en-US" w:eastAsia="zh-CN"/>
        </w:rPr>
        <w:t>巴彦淖尔市临河区</w:t>
      </w:r>
      <w:r>
        <w:rPr>
          <w:rFonts w:hint="eastAsia" w:ascii="仿宋" w:hAnsi="仿宋" w:eastAsia="仿宋" w:cs="仿宋"/>
          <w:color w:val="auto"/>
          <w:sz w:val="32"/>
          <w:szCs w:val="32"/>
          <w:u w:val="none"/>
          <w:lang w:eastAsia="zh-CN"/>
        </w:rPr>
        <w:t>市场监督管理局</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color w:val="000000"/>
          <w:sz w:val="32"/>
          <w:szCs w:val="32"/>
          <w:u w:val="none"/>
        </w:rPr>
      </w:pPr>
      <w:r>
        <w:rPr>
          <w:rFonts w:hint="eastAsia" w:ascii="仿宋" w:hAnsi="仿宋" w:eastAsia="仿宋" w:cs="仿宋"/>
          <w:sz w:val="32"/>
          <w:szCs w:val="32"/>
          <w:u w:val="none"/>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巴彦淖尔市临河区</w:t>
      </w:r>
      <w:r>
        <w:rPr>
          <w:rFonts w:hint="eastAsia" w:ascii="仿宋" w:hAnsi="仿宋" w:eastAsia="仿宋" w:cs="仿宋"/>
          <w:color w:val="000000"/>
          <w:sz w:val="32"/>
          <w:szCs w:val="32"/>
          <w:u w:val="none"/>
        </w:rPr>
        <w:t xml:space="preserve">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601"/>
        <w:jc w:val="center"/>
        <w:textAlignment w:val="auto"/>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 xml:space="preserve">                        （印 章）     </w:t>
      </w:r>
    </w:p>
    <w:p>
      <w:pPr>
        <w:keepNext w:val="0"/>
        <w:keepLines w:val="0"/>
        <w:pageBreakBefore w:val="0"/>
        <w:widowControl w:val="0"/>
        <w:kinsoku/>
        <w:wordWrap/>
        <w:overflowPunct/>
        <w:topLinePunct w:val="0"/>
        <w:autoSpaceDE/>
        <w:autoSpaceDN/>
        <w:bidi w:val="0"/>
        <w:adjustRightInd/>
        <w:snapToGrid/>
        <w:spacing w:line="560" w:lineRule="exact"/>
        <w:ind w:right="1120" w:firstLine="600"/>
        <w:jc w:val="center"/>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 xml:space="preserve">                         2026</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4</w:t>
      </w:r>
      <w:bookmarkStart w:id="3" w:name="_GoBack"/>
      <w:bookmarkEnd w:id="3"/>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14</w:t>
      </w:r>
      <w:r>
        <w:rPr>
          <w:rFonts w:hint="eastAsia" w:ascii="仿宋" w:hAnsi="仿宋" w:eastAsia="仿宋" w:cs="仿宋"/>
          <w:color w:val="000000"/>
          <w:sz w:val="32"/>
          <w:szCs w:val="32"/>
          <w:u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0" w:usb1="00000000" w:usb2="00000000" w:usb3="00000000" w:csb0="00000000" w:csb1="00000000"/>
    <w:embedRegular r:id="rId1" w:fontKey="{9C70C442-BDAF-49C0-B8FD-B00D3D28287B}"/>
  </w:font>
  <w:font w:name="仿宋">
    <w:panose1 w:val="02010609060101010101"/>
    <w:charset w:val="86"/>
    <w:family w:val="modern"/>
    <w:pitch w:val="default"/>
    <w:sig w:usb0="800002BF" w:usb1="38CF7CFA" w:usb2="00000016" w:usb3="00000000" w:csb0="00040001" w:csb1="00000000"/>
    <w:embedRegular r:id="rId2" w:fontKey="{B061773C-CCB5-4940-BB4F-FB01F6CEAB81}"/>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F12EB"/>
    <w:rsid w:val="03F84D6E"/>
    <w:rsid w:val="054B5371"/>
    <w:rsid w:val="0D4E59FF"/>
    <w:rsid w:val="14213E6D"/>
    <w:rsid w:val="24FE4F85"/>
    <w:rsid w:val="2A693A20"/>
    <w:rsid w:val="2B5B15BB"/>
    <w:rsid w:val="2C942CB5"/>
    <w:rsid w:val="2D8868B3"/>
    <w:rsid w:val="2D9B0395"/>
    <w:rsid w:val="2E6A7D67"/>
    <w:rsid w:val="30315EEC"/>
    <w:rsid w:val="33150BE9"/>
    <w:rsid w:val="35AB313F"/>
    <w:rsid w:val="374E46CA"/>
    <w:rsid w:val="41AE46E3"/>
    <w:rsid w:val="46EE37D3"/>
    <w:rsid w:val="472C4272"/>
    <w:rsid w:val="50D65F35"/>
    <w:rsid w:val="51C770FB"/>
    <w:rsid w:val="58C63C68"/>
    <w:rsid w:val="5FED5F7E"/>
    <w:rsid w:val="6578453C"/>
    <w:rsid w:val="66911D59"/>
    <w:rsid w:val="67CD7E59"/>
    <w:rsid w:val="6E177503"/>
    <w:rsid w:val="6F03756C"/>
    <w:rsid w:val="717C5446"/>
    <w:rsid w:val="74DF12EB"/>
    <w:rsid w:val="75EA7FB0"/>
    <w:rsid w:val="774B1B9A"/>
    <w:rsid w:val="7925457B"/>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1352</Words>
  <Characters>1394</Characters>
  <Lines>0</Lines>
  <Paragraphs>0</Paragraphs>
  <TotalTime>0</TotalTime>
  <ScaleCrop>false</ScaleCrop>
  <LinksUpToDate>false</LinksUpToDate>
  <CharactersWithSpaces>1609</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2024-11-19T08:39:00Z</dcterms:created>
  <dc:creator>JOJO</dc:creator>
  <cp:lastModifiedBy>梁平</cp:lastModifiedBy>
  <cp:lastPrinted>2024-11-20T01:45:00Z</cp:lastPrinted>
  <dcterms:modified xsi:type="dcterms:W3CDTF">2026-04-13T08:55:02Z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8DFE6D1D79DE487BAD0DB28F3932C88C_11</vt:lpwstr>
  </property>
  <property fmtid="{D5CDD505-2E9C-101B-9397-08002B2CF9AE}" pid="4" name="KSOTemplateDocerSaveRecord">
    <vt:lpwstr>eyJoZGlkIjoiZmNmMTQwOTg4OTc4MGUwNjY2YzJkNmVjYWQ0ZTk0MjIiLCJ1c2VySWQiOiIxNDMzMDI5NTQ0In0=</vt:lpwstr>
  </property>
</Properties>
</file>