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附件1</w:t>
      </w:r>
    </w:p>
    <w:p>
      <w:pPr>
        <w:jc w:val="center"/>
        <w:rPr>
          <w:sz w:val="44"/>
          <w:szCs w:val="44"/>
        </w:rPr>
      </w:pPr>
      <w:bookmarkStart w:id="0" w:name="_GoBack"/>
      <w:r>
        <w:rPr>
          <w:rFonts w:ascii="宋体" w:hAnsi="宋体" w:eastAsia="宋体" w:cs="宋体"/>
          <w:b/>
          <w:bCs/>
          <w:spacing w:val="-1"/>
          <w:sz w:val="44"/>
          <w:szCs w:val="44"/>
        </w:rPr>
        <w:t>2025年度县域商业建设</w:t>
      </w:r>
      <w:r>
        <w:rPr>
          <w:rFonts w:hint="eastAsia" w:ascii="宋体" w:hAnsi="宋体" w:eastAsia="宋体" w:cs="宋体"/>
          <w:b/>
          <w:bCs/>
          <w:spacing w:val="-1"/>
          <w:sz w:val="44"/>
          <w:szCs w:val="44"/>
          <w:lang w:val="en-US" w:eastAsia="zh-CN"/>
        </w:rPr>
        <w:t>行动申报</w:t>
      </w:r>
      <w:r>
        <w:rPr>
          <w:rFonts w:ascii="宋体" w:hAnsi="宋体" w:eastAsia="宋体" w:cs="宋体"/>
          <w:b/>
          <w:bCs/>
          <w:spacing w:val="-1"/>
          <w:sz w:val="44"/>
          <w:szCs w:val="44"/>
        </w:rPr>
        <w:t>项目</w:t>
      </w:r>
      <w:r>
        <w:rPr>
          <w:rFonts w:hint="eastAsia" w:ascii="宋体" w:hAnsi="宋体" w:eastAsia="宋体" w:cs="宋体"/>
          <w:b/>
          <w:bCs/>
          <w:i w:val="0"/>
          <w:iCs w:val="0"/>
          <w:color w:val="000000"/>
          <w:kern w:val="0"/>
          <w:sz w:val="44"/>
          <w:szCs w:val="44"/>
          <w:u w:val="none"/>
          <w:lang w:val="en-US" w:eastAsia="zh-CN" w:bidi="ar"/>
        </w:rPr>
        <w:t>公示表</w:t>
      </w:r>
    </w:p>
    <w:bookmarkEnd w:id="0"/>
    <w:tbl>
      <w:tblPr>
        <w:tblStyle w:val="6"/>
        <w:tblpPr w:leftFromText="180" w:rightFromText="180" w:vertAnchor="text" w:horzAnchor="page" w:tblpX="908" w:tblpY="527"/>
        <w:tblOverlap w:val="never"/>
        <w:tblW w:w="14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483"/>
        <w:gridCol w:w="762"/>
        <w:gridCol w:w="1294"/>
        <w:gridCol w:w="636"/>
        <w:gridCol w:w="686"/>
        <w:gridCol w:w="2160"/>
        <w:gridCol w:w="3825"/>
        <w:gridCol w:w="1365"/>
        <w:gridCol w:w="930"/>
        <w:gridCol w:w="1140"/>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40" w:hRule="atLeast"/>
        </w:trPr>
        <w:tc>
          <w:tcPr>
            <w:tcW w:w="614" w:type="dxa"/>
            <w:vAlign w:val="top"/>
          </w:tcPr>
          <w:p>
            <w:pPr>
              <w:spacing w:line="279" w:lineRule="auto"/>
              <w:jc w:val="center"/>
              <w:rPr>
                <w:rFonts w:ascii="Arial"/>
                <w:sz w:val="21"/>
              </w:rPr>
            </w:pPr>
          </w:p>
          <w:p>
            <w:pPr>
              <w:spacing w:line="279" w:lineRule="auto"/>
              <w:jc w:val="center"/>
              <w:rPr>
                <w:rFonts w:ascii="Arial"/>
                <w:sz w:val="21"/>
              </w:rPr>
            </w:pPr>
          </w:p>
          <w:p>
            <w:pPr>
              <w:spacing w:line="280" w:lineRule="auto"/>
              <w:jc w:val="center"/>
              <w:rPr>
                <w:rFonts w:ascii="Arial"/>
                <w:sz w:val="21"/>
              </w:rPr>
            </w:pPr>
          </w:p>
          <w:p>
            <w:pPr>
              <w:spacing w:line="280" w:lineRule="auto"/>
              <w:jc w:val="center"/>
              <w:rPr>
                <w:rFonts w:ascii="Arial"/>
                <w:sz w:val="21"/>
              </w:rPr>
            </w:pPr>
          </w:p>
          <w:p>
            <w:pPr>
              <w:pStyle w:val="7"/>
              <w:spacing w:before="58" w:line="221" w:lineRule="auto"/>
              <w:ind w:left="54"/>
              <w:jc w:val="center"/>
              <w:rPr>
                <w:sz w:val="18"/>
                <w:szCs w:val="18"/>
              </w:rPr>
            </w:pPr>
            <w:r>
              <w:rPr>
                <w:spacing w:val="-2"/>
                <w:sz w:val="18"/>
                <w:szCs w:val="18"/>
              </w:rPr>
              <w:t>序号</w:t>
            </w:r>
          </w:p>
        </w:tc>
        <w:tc>
          <w:tcPr>
            <w:tcW w:w="483" w:type="dxa"/>
            <w:vAlign w:val="top"/>
          </w:tcPr>
          <w:p>
            <w:pPr>
              <w:spacing w:line="279" w:lineRule="auto"/>
              <w:jc w:val="center"/>
              <w:rPr>
                <w:rFonts w:ascii="Arial"/>
                <w:sz w:val="21"/>
              </w:rPr>
            </w:pPr>
          </w:p>
          <w:p>
            <w:pPr>
              <w:spacing w:line="279" w:lineRule="auto"/>
              <w:jc w:val="center"/>
              <w:rPr>
                <w:rFonts w:ascii="Arial"/>
                <w:sz w:val="21"/>
              </w:rPr>
            </w:pPr>
          </w:p>
          <w:p>
            <w:pPr>
              <w:spacing w:line="279" w:lineRule="auto"/>
              <w:jc w:val="center"/>
              <w:rPr>
                <w:rFonts w:ascii="Arial"/>
                <w:sz w:val="21"/>
              </w:rPr>
            </w:pPr>
          </w:p>
          <w:p>
            <w:pPr>
              <w:spacing w:line="280" w:lineRule="auto"/>
              <w:jc w:val="center"/>
              <w:rPr>
                <w:rFonts w:ascii="Arial"/>
                <w:sz w:val="21"/>
              </w:rPr>
            </w:pPr>
          </w:p>
          <w:p>
            <w:pPr>
              <w:pStyle w:val="7"/>
              <w:spacing w:before="58" w:line="219" w:lineRule="auto"/>
              <w:ind w:left="221"/>
              <w:jc w:val="center"/>
              <w:rPr>
                <w:sz w:val="18"/>
                <w:szCs w:val="18"/>
              </w:rPr>
            </w:pPr>
            <w:r>
              <w:rPr>
                <w:spacing w:val="-2"/>
                <w:sz w:val="18"/>
                <w:szCs w:val="18"/>
              </w:rPr>
              <w:t>盟市</w:t>
            </w:r>
          </w:p>
        </w:tc>
        <w:tc>
          <w:tcPr>
            <w:tcW w:w="762" w:type="dxa"/>
            <w:vAlign w:val="top"/>
          </w:tcPr>
          <w:p>
            <w:pPr>
              <w:spacing w:line="279" w:lineRule="auto"/>
              <w:jc w:val="center"/>
              <w:rPr>
                <w:rFonts w:ascii="Arial"/>
                <w:sz w:val="21"/>
              </w:rPr>
            </w:pPr>
          </w:p>
          <w:p>
            <w:pPr>
              <w:spacing w:line="279" w:lineRule="auto"/>
              <w:jc w:val="center"/>
              <w:rPr>
                <w:rFonts w:ascii="Arial"/>
                <w:sz w:val="21"/>
              </w:rPr>
            </w:pPr>
          </w:p>
          <w:p>
            <w:pPr>
              <w:spacing w:line="280" w:lineRule="auto"/>
              <w:jc w:val="center"/>
              <w:rPr>
                <w:rFonts w:ascii="Arial"/>
                <w:sz w:val="21"/>
              </w:rPr>
            </w:pPr>
          </w:p>
          <w:p>
            <w:pPr>
              <w:spacing w:line="280" w:lineRule="auto"/>
              <w:jc w:val="center"/>
              <w:rPr>
                <w:rFonts w:ascii="Arial"/>
                <w:sz w:val="21"/>
              </w:rPr>
            </w:pPr>
          </w:p>
          <w:p>
            <w:pPr>
              <w:pStyle w:val="7"/>
              <w:spacing w:before="58" w:line="221" w:lineRule="auto"/>
              <w:ind w:left="110"/>
              <w:jc w:val="center"/>
              <w:rPr>
                <w:sz w:val="18"/>
                <w:szCs w:val="18"/>
              </w:rPr>
            </w:pPr>
            <w:r>
              <w:rPr>
                <w:spacing w:val="5"/>
                <w:sz w:val="18"/>
                <w:szCs w:val="18"/>
              </w:rPr>
              <w:t>旗县区</w:t>
            </w:r>
          </w:p>
        </w:tc>
        <w:tc>
          <w:tcPr>
            <w:tcW w:w="1294" w:type="dxa"/>
            <w:vAlign w:val="top"/>
          </w:tcPr>
          <w:p>
            <w:pPr>
              <w:spacing w:line="316" w:lineRule="auto"/>
              <w:jc w:val="center"/>
              <w:rPr>
                <w:rFonts w:ascii="Arial"/>
                <w:sz w:val="21"/>
              </w:rPr>
            </w:pPr>
          </w:p>
          <w:p>
            <w:pPr>
              <w:spacing w:line="316" w:lineRule="auto"/>
              <w:jc w:val="center"/>
              <w:rPr>
                <w:rFonts w:ascii="Arial"/>
                <w:sz w:val="21"/>
              </w:rPr>
            </w:pPr>
          </w:p>
          <w:p>
            <w:pPr>
              <w:spacing w:line="316" w:lineRule="auto"/>
              <w:jc w:val="center"/>
              <w:rPr>
                <w:rFonts w:ascii="Arial"/>
                <w:sz w:val="21"/>
              </w:rPr>
            </w:pPr>
          </w:p>
          <w:p>
            <w:pPr>
              <w:pStyle w:val="7"/>
              <w:spacing w:before="58" w:line="323" w:lineRule="auto"/>
              <w:ind w:left="280" w:right="82" w:hanging="179"/>
              <w:jc w:val="center"/>
              <w:rPr>
                <w:sz w:val="18"/>
                <w:szCs w:val="18"/>
              </w:rPr>
            </w:pPr>
            <w:r>
              <w:rPr>
                <w:spacing w:val="8"/>
                <w:sz w:val="18"/>
                <w:szCs w:val="18"/>
              </w:rPr>
              <w:t>支持项目</w:t>
            </w:r>
            <w:r>
              <w:rPr>
                <w:spacing w:val="1"/>
                <w:sz w:val="18"/>
                <w:szCs w:val="18"/>
              </w:rPr>
              <w:t xml:space="preserve"> </w:t>
            </w:r>
            <w:r>
              <w:rPr>
                <w:spacing w:val="-2"/>
                <w:sz w:val="18"/>
                <w:szCs w:val="18"/>
              </w:rPr>
              <w:t>全称</w:t>
            </w:r>
          </w:p>
        </w:tc>
        <w:tc>
          <w:tcPr>
            <w:tcW w:w="636" w:type="dxa"/>
            <w:vAlign w:val="top"/>
          </w:tcPr>
          <w:p>
            <w:pPr>
              <w:spacing w:line="241"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pStyle w:val="7"/>
              <w:spacing w:before="58" w:line="302" w:lineRule="auto"/>
              <w:ind w:left="133" w:right="128"/>
              <w:jc w:val="center"/>
              <w:rPr>
                <w:sz w:val="18"/>
                <w:szCs w:val="18"/>
              </w:rPr>
            </w:pPr>
            <w:r>
              <w:rPr>
                <w:spacing w:val="-4"/>
                <w:sz w:val="18"/>
                <w:szCs w:val="18"/>
              </w:rPr>
              <w:t>支持</w:t>
            </w:r>
            <w:r>
              <w:rPr>
                <w:sz w:val="18"/>
                <w:szCs w:val="18"/>
              </w:rPr>
              <w:t xml:space="preserve"> </w:t>
            </w:r>
            <w:r>
              <w:rPr>
                <w:spacing w:val="9"/>
                <w:sz w:val="18"/>
                <w:szCs w:val="18"/>
              </w:rPr>
              <w:t>方向</w:t>
            </w:r>
          </w:p>
        </w:tc>
        <w:tc>
          <w:tcPr>
            <w:tcW w:w="686" w:type="dxa"/>
            <w:vAlign w:val="top"/>
          </w:tcPr>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pStyle w:val="7"/>
              <w:spacing w:before="58" w:line="299" w:lineRule="auto"/>
              <w:ind w:left="143" w:right="112"/>
              <w:jc w:val="center"/>
              <w:rPr>
                <w:sz w:val="18"/>
                <w:szCs w:val="18"/>
              </w:rPr>
            </w:pPr>
            <w:r>
              <w:rPr>
                <w:spacing w:val="-26"/>
                <w:sz w:val="18"/>
                <w:szCs w:val="18"/>
              </w:rPr>
              <w:t>项</w:t>
            </w:r>
            <w:r>
              <w:rPr>
                <w:spacing w:val="-5"/>
                <w:sz w:val="18"/>
                <w:szCs w:val="18"/>
              </w:rPr>
              <w:t xml:space="preserve"> </w:t>
            </w:r>
            <w:r>
              <w:rPr>
                <w:spacing w:val="-26"/>
                <w:sz w:val="18"/>
                <w:szCs w:val="18"/>
              </w:rPr>
              <w:t>目</w:t>
            </w:r>
            <w:r>
              <w:rPr>
                <w:sz w:val="18"/>
                <w:szCs w:val="18"/>
              </w:rPr>
              <w:t xml:space="preserve"> </w:t>
            </w:r>
            <w:r>
              <w:rPr>
                <w:spacing w:val="-2"/>
                <w:sz w:val="18"/>
                <w:szCs w:val="18"/>
              </w:rPr>
              <w:t>年度</w:t>
            </w:r>
          </w:p>
        </w:tc>
        <w:tc>
          <w:tcPr>
            <w:tcW w:w="2160" w:type="dxa"/>
            <w:vAlign w:val="top"/>
          </w:tcPr>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pStyle w:val="7"/>
              <w:spacing w:before="59" w:line="221" w:lineRule="auto"/>
              <w:ind w:left="163"/>
              <w:jc w:val="center"/>
              <w:rPr>
                <w:sz w:val="18"/>
                <w:szCs w:val="18"/>
              </w:rPr>
            </w:pPr>
            <w:r>
              <w:rPr>
                <w:spacing w:val="-3"/>
                <w:sz w:val="18"/>
                <w:szCs w:val="18"/>
              </w:rPr>
              <w:t>建设</w:t>
            </w:r>
          </w:p>
          <w:p>
            <w:pPr>
              <w:pStyle w:val="7"/>
              <w:spacing w:before="73" w:line="219" w:lineRule="auto"/>
              <w:ind w:left="163"/>
              <w:jc w:val="center"/>
              <w:rPr>
                <w:sz w:val="18"/>
                <w:szCs w:val="18"/>
              </w:rPr>
            </w:pPr>
            <w:r>
              <w:rPr>
                <w:spacing w:val="4"/>
                <w:sz w:val="18"/>
                <w:szCs w:val="18"/>
              </w:rPr>
              <w:t>内容</w:t>
            </w:r>
          </w:p>
        </w:tc>
        <w:tc>
          <w:tcPr>
            <w:tcW w:w="3825" w:type="dxa"/>
            <w:vAlign w:val="top"/>
          </w:tcPr>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pStyle w:val="7"/>
              <w:spacing w:before="58" w:line="220" w:lineRule="auto"/>
              <w:ind w:left="152"/>
              <w:jc w:val="center"/>
              <w:rPr>
                <w:sz w:val="18"/>
                <w:szCs w:val="18"/>
              </w:rPr>
            </w:pPr>
            <w:r>
              <w:rPr>
                <w:spacing w:val="-3"/>
                <w:sz w:val="18"/>
                <w:szCs w:val="18"/>
              </w:rPr>
              <w:t>实现</w:t>
            </w:r>
          </w:p>
          <w:p>
            <w:pPr>
              <w:pStyle w:val="7"/>
              <w:spacing w:before="75" w:line="221" w:lineRule="auto"/>
              <w:ind w:left="152"/>
              <w:jc w:val="center"/>
              <w:rPr>
                <w:sz w:val="18"/>
                <w:szCs w:val="18"/>
              </w:rPr>
            </w:pPr>
            <w:r>
              <w:rPr>
                <w:spacing w:val="-3"/>
                <w:sz w:val="18"/>
                <w:szCs w:val="18"/>
              </w:rPr>
              <w:t>功能</w:t>
            </w:r>
          </w:p>
        </w:tc>
        <w:tc>
          <w:tcPr>
            <w:tcW w:w="1365" w:type="dxa"/>
            <w:vAlign w:val="top"/>
          </w:tcPr>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pStyle w:val="7"/>
              <w:spacing w:before="59" w:line="221" w:lineRule="auto"/>
              <w:ind w:left="113"/>
              <w:jc w:val="center"/>
              <w:rPr>
                <w:sz w:val="18"/>
                <w:szCs w:val="18"/>
              </w:rPr>
            </w:pPr>
            <w:r>
              <w:rPr>
                <w:spacing w:val="-3"/>
                <w:sz w:val="18"/>
                <w:szCs w:val="18"/>
              </w:rPr>
              <w:t>建设</w:t>
            </w:r>
          </w:p>
          <w:p>
            <w:pPr>
              <w:pStyle w:val="7"/>
              <w:spacing w:before="74" w:line="220" w:lineRule="auto"/>
              <w:ind w:left="113"/>
              <w:jc w:val="center"/>
              <w:rPr>
                <w:sz w:val="18"/>
                <w:szCs w:val="18"/>
              </w:rPr>
            </w:pPr>
            <w:r>
              <w:rPr>
                <w:spacing w:val="-2"/>
                <w:sz w:val="18"/>
                <w:szCs w:val="18"/>
              </w:rPr>
              <w:t>周期</w:t>
            </w:r>
          </w:p>
        </w:tc>
        <w:tc>
          <w:tcPr>
            <w:tcW w:w="930" w:type="dxa"/>
            <w:vAlign w:val="top"/>
          </w:tcPr>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spacing w:line="242" w:lineRule="auto"/>
              <w:jc w:val="center"/>
              <w:rPr>
                <w:rFonts w:ascii="Arial"/>
                <w:sz w:val="21"/>
              </w:rPr>
            </w:pPr>
          </w:p>
          <w:p>
            <w:pPr>
              <w:pStyle w:val="7"/>
              <w:spacing w:before="59" w:line="221" w:lineRule="auto"/>
              <w:ind w:left="184"/>
              <w:jc w:val="center"/>
              <w:rPr>
                <w:sz w:val="18"/>
                <w:szCs w:val="18"/>
              </w:rPr>
            </w:pPr>
            <w:r>
              <w:rPr>
                <w:spacing w:val="-3"/>
                <w:sz w:val="18"/>
                <w:szCs w:val="18"/>
              </w:rPr>
              <w:t>建设</w:t>
            </w:r>
          </w:p>
          <w:p>
            <w:pPr>
              <w:pStyle w:val="7"/>
              <w:spacing w:before="74" w:line="220" w:lineRule="auto"/>
              <w:ind w:left="184"/>
              <w:jc w:val="center"/>
              <w:rPr>
                <w:sz w:val="18"/>
                <w:szCs w:val="18"/>
              </w:rPr>
            </w:pPr>
            <w:r>
              <w:rPr>
                <w:spacing w:val="-2"/>
                <w:sz w:val="18"/>
                <w:szCs w:val="18"/>
              </w:rPr>
              <w:t>进度</w:t>
            </w:r>
          </w:p>
        </w:tc>
        <w:tc>
          <w:tcPr>
            <w:tcW w:w="1140" w:type="dxa"/>
            <w:vAlign w:val="top"/>
          </w:tcPr>
          <w:p>
            <w:pPr>
              <w:spacing w:line="276" w:lineRule="auto"/>
              <w:jc w:val="center"/>
              <w:rPr>
                <w:rFonts w:ascii="Arial"/>
                <w:sz w:val="21"/>
              </w:rPr>
            </w:pPr>
          </w:p>
          <w:p>
            <w:pPr>
              <w:spacing w:line="276" w:lineRule="auto"/>
              <w:jc w:val="center"/>
              <w:rPr>
                <w:rFonts w:ascii="Arial"/>
                <w:sz w:val="21"/>
              </w:rPr>
            </w:pPr>
          </w:p>
          <w:p>
            <w:pPr>
              <w:spacing w:line="276" w:lineRule="auto"/>
              <w:jc w:val="center"/>
              <w:rPr>
                <w:rFonts w:ascii="Arial"/>
                <w:sz w:val="21"/>
              </w:rPr>
            </w:pPr>
          </w:p>
          <w:p>
            <w:pPr>
              <w:pStyle w:val="7"/>
              <w:spacing w:before="59" w:line="219" w:lineRule="auto"/>
              <w:ind w:left="154"/>
              <w:jc w:val="center"/>
              <w:rPr>
                <w:sz w:val="18"/>
                <w:szCs w:val="18"/>
              </w:rPr>
            </w:pPr>
            <w:r>
              <w:rPr>
                <w:spacing w:val="-2"/>
                <w:sz w:val="18"/>
                <w:szCs w:val="18"/>
              </w:rPr>
              <w:t>承办</w:t>
            </w:r>
          </w:p>
          <w:p>
            <w:pPr>
              <w:pStyle w:val="7"/>
              <w:spacing w:before="76" w:line="229" w:lineRule="auto"/>
              <w:ind w:left="154"/>
              <w:jc w:val="center"/>
              <w:rPr>
                <w:sz w:val="18"/>
                <w:szCs w:val="18"/>
              </w:rPr>
            </w:pPr>
            <w:r>
              <w:rPr>
                <w:spacing w:val="-3"/>
                <w:sz w:val="18"/>
                <w:szCs w:val="18"/>
              </w:rPr>
              <w:t>企业</w:t>
            </w:r>
          </w:p>
          <w:p>
            <w:pPr>
              <w:pStyle w:val="7"/>
              <w:spacing w:before="58" w:line="221" w:lineRule="auto"/>
              <w:ind w:left="154"/>
              <w:jc w:val="center"/>
              <w:rPr>
                <w:sz w:val="18"/>
                <w:szCs w:val="18"/>
              </w:rPr>
            </w:pPr>
            <w:r>
              <w:rPr>
                <w:spacing w:val="-2"/>
                <w:sz w:val="18"/>
                <w:szCs w:val="18"/>
              </w:rPr>
              <w:t>全称</w:t>
            </w:r>
          </w:p>
        </w:tc>
        <w:tc>
          <w:tcPr>
            <w:tcW w:w="705" w:type="dxa"/>
            <w:vAlign w:val="top"/>
          </w:tcPr>
          <w:p>
            <w:pPr>
              <w:spacing w:line="276" w:lineRule="auto"/>
              <w:jc w:val="center"/>
              <w:rPr>
                <w:rFonts w:ascii="Arial"/>
                <w:sz w:val="21"/>
              </w:rPr>
            </w:pPr>
          </w:p>
          <w:p>
            <w:pPr>
              <w:spacing w:line="276" w:lineRule="auto"/>
              <w:jc w:val="center"/>
              <w:rPr>
                <w:rFonts w:ascii="Arial"/>
                <w:sz w:val="21"/>
              </w:rPr>
            </w:pPr>
          </w:p>
          <w:p>
            <w:pPr>
              <w:spacing w:line="277" w:lineRule="auto"/>
              <w:jc w:val="center"/>
              <w:rPr>
                <w:rFonts w:ascii="Arial"/>
                <w:sz w:val="21"/>
              </w:rPr>
            </w:pPr>
          </w:p>
          <w:p>
            <w:pPr>
              <w:pStyle w:val="7"/>
              <w:spacing w:before="58" w:line="220" w:lineRule="auto"/>
              <w:ind w:left="104"/>
              <w:jc w:val="center"/>
              <w:rPr>
                <w:sz w:val="18"/>
                <w:szCs w:val="18"/>
              </w:rPr>
            </w:pPr>
            <w:r>
              <w:rPr>
                <w:spacing w:val="-3"/>
                <w:sz w:val="18"/>
                <w:szCs w:val="18"/>
              </w:rPr>
              <w:t>总投</w:t>
            </w:r>
          </w:p>
          <w:p>
            <w:pPr>
              <w:pStyle w:val="7"/>
              <w:spacing w:before="65" w:line="219" w:lineRule="auto"/>
              <w:ind w:left="104"/>
              <w:jc w:val="center"/>
              <w:rPr>
                <w:sz w:val="18"/>
                <w:szCs w:val="18"/>
              </w:rPr>
            </w:pPr>
            <w:r>
              <w:rPr>
                <w:spacing w:val="3"/>
                <w:sz w:val="18"/>
                <w:szCs w:val="18"/>
              </w:rPr>
              <w:t>资额</w:t>
            </w:r>
          </w:p>
          <w:p>
            <w:pPr>
              <w:pStyle w:val="7"/>
              <w:spacing w:before="96" w:line="220" w:lineRule="auto"/>
              <w:jc w:val="center"/>
              <w:rPr>
                <w:sz w:val="18"/>
                <w:szCs w:val="18"/>
              </w:rPr>
            </w:pPr>
            <w:r>
              <w:rPr>
                <w:spacing w:val="6"/>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5" w:hRule="atLeast"/>
        </w:trPr>
        <w:tc>
          <w:tcPr>
            <w:tcW w:w="614" w:type="dxa"/>
            <w:vAlign w:val="top"/>
          </w:tcPr>
          <w:p>
            <w:pPr>
              <w:pStyle w:val="7"/>
              <w:spacing w:before="58" w:line="241" w:lineRule="auto"/>
              <w:ind w:left="54"/>
              <w:jc w:val="center"/>
              <w:rPr>
                <w:rFonts w:hint="eastAsia" w:eastAsia="宋体"/>
                <w:sz w:val="21"/>
                <w:szCs w:val="21"/>
                <w:lang w:val="en-US" w:eastAsia="zh-CN"/>
              </w:rPr>
            </w:pPr>
            <w:r>
              <w:rPr>
                <w:rFonts w:hint="eastAsia"/>
                <w:sz w:val="21"/>
                <w:szCs w:val="21"/>
                <w:lang w:val="en-US" w:eastAsia="zh-CN"/>
              </w:rPr>
              <w:t>1</w:t>
            </w:r>
          </w:p>
        </w:tc>
        <w:tc>
          <w:tcPr>
            <w:tcW w:w="48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巴彦淖</w:t>
            </w:r>
          </w:p>
          <w:p>
            <w:pPr>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szCs w:val="21"/>
                <w:lang w:val="en-US" w:eastAsia="zh-CN"/>
              </w:rPr>
              <w:t>尔市</w:t>
            </w:r>
          </w:p>
        </w:tc>
        <w:tc>
          <w:tcPr>
            <w:tcW w:w="762" w:type="dxa"/>
            <w:vAlign w:val="center"/>
          </w:tcPr>
          <w:p>
            <w:pPr>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szCs w:val="21"/>
                <w:lang w:val="en-US" w:eastAsia="zh-CN"/>
              </w:rPr>
              <w:t>临河区</w:t>
            </w:r>
          </w:p>
        </w:tc>
        <w:tc>
          <w:tcPr>
            <w:tcW w:w="129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小麦粉主食制品的智能化设备升级和配套体系建设项目</w:t>
            </w:r>
          </w:p>
        </w:tc>
        <w:tc>
          <w:tcPr>
            <w:tcW w:w="636" w:type="dxa"/>
            <w:vAlign w:val="center"/>
          </w:tcPr>
          <w:p>
            <w:pPr>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szCs w:val="21"/>
                <w:lang w:val="en-US" w:eastAsia="zh-CN"/>
              </w:rPr>
              <w:t>增强农畜产品上行动能</w:t>
            </w:r>
          </w:p>
        </w:tc>
        <w:tc>
          <w:tcPr>
            <w:tcW w:w="686" w:type="dxa"/>
            <w:vAlign w:val="center"/>
          </w:tcPr>
          <w:p>
            <w:pPr>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szCs w:val="21"/>
                <w:lang w:val="en-US" w:eastAsia="zh-CN"/>
              </w:rPr>
              <w:t>2025年</w:t>
            </w:r>
          </w:p>
        </w:tc>
        <w:tc>
          <w:tcPr>
            <w:tcW w:w="21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引进高效节能设备，提升生产效率。采用智能化技术，优化能耗，提高产品品质稳定性。引入自动化包装机（如真空包装、定量包装），提升产品保质期和商品化水平。优化车间布局，符合食品加工卫生标准，建设恒温仓储库，保障产品储存稳定性。</w:t>
            </w:r>
          </w:p>
        </w:tc>
        <w:tc>
          <w:tcPr>
            <w:tcW w:w="38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 生产加工功能</w:t>
            </w:r>
            <w:r>
              <w:rPr>
                <w:rFonts w:hint="eastAsia" w:asciiTheme="minorEastAsia" w:hAnsiTheme="minorEastAsia" w:eastAsiaTheme="minorEastAsia" w:cstheme="minorEastAsia"/>
                <w:i w:val="0"/>
                <w:iCs w:val="0"/>
                <w:snapToGrid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生产效率提高40%以上；产品合格率从90%提升至99%以上。</w:t>
            </w:r>
            <w:r>
              <w:rPr>
                <w:rFonts w:hint="eastAsia" w:asciiTheme="minorEastAsia" w:hAnsiTheme="minorEastAsia" w:eastAsiaTheme="minorEastAsia" w:cstheme="minorEastAsia"/>
                <w:i w:val="0"/>
                <w:iCs w:val="0"/>
                <w:snapToGrid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 质量管控功能</w:t>
            </w:r>
            <w:r>
              <w:rPr>
                <w:rFonts w:hint="eastAsia" w:asciiTheme="minorEastAsia" w:hAnsiTheme="minorEastAsia" w:eastAsiaTheme="minorEastAsia" w:cstheme="minorEastAsia"/>
                <w:i w:val="0"/>
                <w:iCs w:val="0"/>
                <w:snapToGrid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建立从原料入厂到成品出厂的全流程质量追溯系统；实现关键指标的在线检测；自动剔除不合格产品，确保食品安全。                              3、应急保障功能                  如遇到突发事件，可以实现主食制品的恒温仓储和保障供给。</w:t>
            </w:r>
          </w:p>
        </w:tc>
        <w:tc>
          <w:tcPr>
            <w:tcW w:w="13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2025年1月-2026年6月</w:t>
            </w:r>
          </w:p>
        </w:tc>
        <w:tc>
          <w:tcPr>
            <w:tcW w:w="9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基建已开始</w:t>
            </w:r>
          </w:p>
        </w:tc>
        <w:tc>
          <w:tcPr>
            <w:tcW w:w="11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巴彦淖尔市冠生园食品有限责任公司</w:t>
            </w:r>
          </w:p>
        </w:tc>
        <w:tc>
          <w:tcPr>
            <w:tcW w:w="7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9" w:hRule="atLeast"/>
        </w:trPr>
        <w:tc>
          <w:tcPr>
            <w:tcW w:w="614" w:type="dxa"/>
            <w:vAlign w:val="top"/>
          </w:tcPr>
          <w:p>
            <w:pPr>
              <w:pStyle w:val="7"/>
              <w:spacing w:before="58" w:line="241" w:lineRule="auto"/>
              <w:ind w:left="54"/>
              <w:jc w:val="center"/>
              <w:rPr>
                <w:rFonts w:hint="eastAsia" w:eastAsia="宋体"/>
                <w:sz w:val="21"/>
                <w:szCs w:val="21"/>
                <w:lang w:val="en-US" w:eastAsia="zh-CN"/>
              </w:rPr>
            </w:pPr>
            <w:r>
              <w:rPr>
                <w:rFonts w:hint="eastAsia"/>
                <w:sz w:val="21"/>
                <w:szCs w:val="21"/>
                <w:lang w:val="en-US" w:eastAsia="zh-CN"/>
              </w:rPr>
              <w:t>2</w:t>
            </w:r>
          </w:p>
        </w:tc>
        <w:tc>
          <w:tcPr>
            <w:tcW w:w="48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巴彦淖</w:t>
            </w:r>
          </w:p>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尔市</w:t>
            </w:r>
          </w:p>
        </w:tc>
        <w:tc>
          <w:tcPr>
            <w:tcW w:w="76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临河区</w:t>
            </w:r>
          </w:p>
        </w:tc>
        <w:tc>
          <w:tcPr>
            <w:tcW w:w="1294"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塞上绿生园肉类加工标准化与冷链物流配送商品化服务体系建设项目</w:t>
            </w:r>
          </w:p>
        </w:tc>
        <w:tc>
          <w:tcPr>
            <w:tcW w:w="63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增强农畜产品上行动能</w:t>
            </w:r>
          </w:p>
        </w:tc>
        <w:tc>
          <w:tcPr>
            <w:tcW w:w="68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2025年</w:t>
            </w:r>
          </w:p>
        </w:tc>
        <w:tc>
          <w:tcPr>
            <w:tcW w:w="2160" w:type="dxa"/>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改造升级肉类方便食品、预制菜等专用冷库仓储配送中心1000㎡；2.购置肉类商品化加工及配送的设施设备；3.购置肉类标准化包装与冷藏运输设施设备。通过本项目建成后可实现临河区1000吨肉类商品化处理能力，全面提升绿色肉类加工标准和品牌效应，全面提高临河区农畜产品商品转化率。</w:t>
            </w:r>
          </w:p>
        </w:tc>
        <w:tc>
          <w:tcPr>
            <w:tcW w:w="3825" w:type="dxa"/>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过该项目的实施能够有效提升临河区优质肉类商品化处理能力，打造绿色肉类品牌效益，带动当地农户350户以上，带动生猪养殖4500头以上，全面提升服务临河城乡居民的生活水平，实现农畜产品商品转化率提升10%以上。</w:t>
            </w:r>
          </w:p>
        </w:tc>
        <w:tc>
          <w:tcPr>
            <w:tcW w:w="136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2025年9月-2026年9月</w:t>
            </w:r>
          </w:p>
        </w:tc>
        <w:tc>
          <w:tcPr>
            <w:tcW w:w="930"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项目正在办理相关规划及施工许可手续，当前建设进度10%</w:t>
            </w:r>
          </w:p>
        </w:tc>
        <w:tc>
          <w:tcPr>
            <w:tcW w:w="1140"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内蒙古塞上绿生园食品有限公司</w:t>
            </w:r>
          </w:p>
        </w:tc>
        <w:tc>
          <w:tcPr>
            <w:tcW w:w="70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14" w:type="dxa"/>
            <w:shd w:val="clear" w:color="auto" w:fill="auto"/>
            <w:vAlign w:val="top"/>
          </w:tcPr>
          <w:p>
            <w:pPr>
              <w:pStyle w:val="7"/>
              <w:spacing w:before="58" w:line="241" w:lineRule="auto"/>
              <w:jc w:val="center"/>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3</w:t>
            </w:r>
          </w:p>
        </w:tc>
        <w:tc>
          <w:tcPr>
            <w:tcW w:w="483" w:type="dxa"/>
            <w:shd w:val="clear" w:color="auto" w:fill="auto"/>
            <w:vAlign w:val="center"/>
          </w:tcPr>
          <w:p>
            <w:pPr>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lang w:val="en-US" w:eastAsia="zh-CN"/>
              </w:rPr>
              <w:t>巴彦淖尔市</w:t>
            </w:r>
          </w:p>
        </w:tc>
        <w:tc>
          <w:tcPr>
            <w:tcW w:w="762" w:type="dxa"/>
            <w:shd w:val="clear" w:color="auto" w:fill="auto"/>
            <w:vAlign w:val="center"/>
          </w:tcPr>
          <w:p>
            <w:pPr>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lang w:val="en-US" w:eastAsia="zh-CN"/>
              </w:rPr>
              <w:t>临河区</w:t>
            </w:r>
          </w:p>
        </w:tc>
        <w:tc>
          <w:tcPr>
            <w:tcW w:w="1294" w:type="dxa"/>
            <w:shd w:val="clear" w:color="auto" w:fill="auto"/>
            <w:vAlign w:val="center"/>
          </w:tcPr>
          <w:p>
            <w:pPr>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lang w:val="en-US" w:eastAsia="zh-CN"/>
              </w:rPr>
              <w:t>临河区废旧家电再生资源回收集散处置中心建设项目</w:t>
            </w:r>
          </w:p>
        </w:tc>
        <w:tc>
          <w:tcPr>
            <w:tcW w:w="636" w:type="dxa"/>
            <w:shd w:val="clear" w:color="auto" w:fill="auto"/>
            <w:vAlign w:val="center"/>
          </w:tcPr>
          <w:p>
            <w:pPr>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lang w:val="en-US" w:eastAsia="zh-CN"/>
              </w:rPr>
              <w:t>健全废旧家电家具等再生资源回收体系</w:t>
            </w:r>
          </w:p>
        </w:tc>
        <w:tc>
          <w:tcPr>
            <w:tcW w:w="686" w:type="dxa"/>
            <w:shd w:val="clear" w:color="auto" w:fill="auto"/>
            <w:vAlign w:val="center"/>
          </w:tcPr>
          <w:p>
            <w:pPr>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lang w:val="en-US" w:eastAsia="zh-CN"/>
              </w:rPr>
              <w:t>2025年</w:t>
            </w:r>
          </w:p>
        </w:tc>
        <w:tc>
          <w:tcPr>
            <w:tcW w:w="2160" w:type="dxa"/>
            <w:shd w:val="clear" w:color="auto" w:fill="auto"/>
            <w:vAlign w:val="center"/>
          </w:tcPr>
          <w:p>
            <w:pPr>
              <w:numPr>
                <w:ilvl w:val="0"/>
                <w:numId w:val="1"/>
              </w:numPr>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升级改造废旧家电回收、中转、集散仓储库房1500㎡；</w:t>
            </w:r>
          </w:p>
          <w:p>
            <w:pPr>
              <w:numPr>
                <w:ilvl w:val="0"/>
                <w:numId w:val="1"/>
              </w:numPr>
              <w:ind w:left="0" w:leftChars="0" w:firstLine="0" w:firstLineChars="0"/>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购置废旧家电回收、中转及仓储设施设备；</w:t>
            </w:r>
          </w:p>
          <w:p>
            <w:pPr>
              <w:numPr>
                <w:ilvl w:val="0"/>
                <w:numId w:val="0"/>
              </w:numPr>
              <w:ind w:leftChars="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lang w:val="en-US" w:eastAsia="zh-CN"/>
              </w:rPr>
              <w:t>3.购置废旧家电回收车辆及其他辅助车辆设施。</w:t>
            </w:r>
          </w:p>
        </w:tc>
        <w:tc>
          <w:tcPr>
            <w:tcW w:w="3825" w:type="dxa"/>
            <w:shd w:val="clear" w:color="auto" w:fill="auto"/>
            <w:vAlign w:val="top"/>
          </w:tcPr>
          <w:p>
            <w:pPr>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lang w:val="en-US" w:eastAsia="zh-CN"/>
              </w:rPr>
              <w:t>通过该项目的能够提升临河区废旧家电集散及回收能力；项目实施完成后，能够实现年回收废旧家电设施3万台以上；项目辐射临河城乡结合乡镇5个以上，实现废旧家电回收率达到50%以上。</w:t>
            </w:r>
          </w:p>
        </w:tc>
        <w:tc>
          <w:tcPr>
            <w:tcW w:w="1365" w:type="dxa"/>
            <w:shd w:val="clear" w:color="auto" w:fill="auto"/>
            <w:vAlign w:val="center"/>
          </w:tcPr>
          <w:p>
            <w:pPr>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lang w:val="en-US" w:eastAsia="zh-CN"/>
              </w:rPr>
              <w:t>2025年3月-2026年6月</w:t>
            </w:r>
          </w:p>
        </w:tc>
        <w:tc>
          <w:tcPr>
            <w:tcW w:w="930" w:type="dxa"/>
            <w:shd w:val="clear" w:color="auto" w:fill="auto"/>
            <w:vAlign w:val="center"/>
          </w:tcPr>
          <w:p>
            <w:pPr>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lang w:val="en-US" w:eastAsia="zh-CN"/>
              </w:rPr>
              <w:t>项目相关手续齐全，仓储库房改造中，部分设备正在采购，当前进度30%。</w:t>
            </w:r>
          </w:p>
        </w:tc>
        <w:tc>
          <w:tcPr>
            <w:tcW w:w="1140" w:type="dxa"/>
            <w:shd w:val="clear" w:color="auto" w:fill="auto"/>
            <w:vAlign w:val="center"/>
          </w:tcPr>
          <w:p>
            <w:pPr>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内蒙古金烁再生资源回收利用有限公司</w:t>
            </w:r>
          </w:p>
          <w:p>
            <w:pPr>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705" w:type="dxa"/>
            <w:shd w:val="clear" w:color="auto" w:fill="auto"/>
            <w:vAlign w:val="center"/>
          </w:tcPr>
          <w:p>
            <w:pPr>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lang w:val="en-US" w:eastAsia="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96" w:hRule="atLeast"/>
        </w:trPr>
        <w:tc>
          <w:tcPr>
            <w:tcW w:w="614" w:type="dxa"/>
            <w:shd w:val="clear" w:color="auto" w:fill="auto"/>
            <w:vAlign w:val="top"/>
          </w:tcPr>
          <w:p>
            <w:pPr>
              <w:pStyle w:val="7"/>
              <w:spacing w:before="58" w:line="241" w:lineRule="auto"/>
              <w:jc w:val="center"/>
              <w:rPr>
                <w:rFonts w:hint="eastAsia"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4</w:t>
            </w:r>
          </w:p>
          <w:p>
            <w:pPr>
              <w:pStyle w:val="7"/>
              <w:spacing w:before="58" w:line="241" w:lineRule="auto"/>
              <w:ind w:left="54" w:leftChars="0"/>
              <w:jc w:val="center"/>
              <w:rPr>
                <w:rFonts w:hint="default" w:cs="宋体"/>
                <w:snapToGrid w:val="0"/>
                <w:color w:val="000000"/>
                <w:kern w:val="0"/>
                <w:sz w:val="21"/>
                <w:szCs w:val="21"/>
                <w:lang w:val="en-US" w:eastAsia="zh-CN" w:bidi="ar-SA"/>
              </w:rPr>
            </w:pPr>
          </w:p>
        </w:tc>
        <w:tc>
          <w:tcPr>
            <w:tcW w:w="483"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巴彦淖尔市</w:t>
            </w:r>
          </w:p>
        </w:tc>
        <w:tc>
          <w:tcPr>
            <w:tcW w:w="762"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临河区</w:t>
            </w:r>
          </w:p>
        </w:tc>
        <w:tc>
          <w:tcPr>
            <w:tcW w:w="1294"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五逧城农贸批发市场升级改造冷链仓储建设项目</w:t>
            </w:r>
          </w:p>
        </w:tc>
        <w:tc>
          <w:tcPr>
            <w:tcW w:w="636"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增强农畜产品上行动能</w:t>
            </w:r>
          </w:p>
        </w:tc>
        <w:tc>
          <w:tcPr>
            <w:tcW w:w="686"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2025年</w:t>
            </w:r>
          </w:p>
        </w:tc>
        <w:tc>
          <w:tcPr>
            <w:tcW w:w="2160"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本项目建设标准化果蔬保供冷藏库2160平方米、并配套购置制冷机组、吊顶冷风机、远程控制系统及显示屏等。</w:t>
            </w:r>
          </w:p>
        </w:tc>
        <w:tc>
          <w:tcPr>
            <w:tcW w:w="3825" w:type="dxa"/>
            <w:shd w:val="clear" w:color="auto" w:fill="auto"/>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将建成标准化果蔬保供冷藏库2160平方米、并配套购置制冷机组、吊顶冷风机、叉车、远程控制系统及显示屏等设备。可建成18000立方米储存空间，实现新增农产品冷链仓储流通2000吨果蔬类产品的规模，该扩建项目可有效保障巴彦淖尔市地区果蔬类产品供给。</w:t>
            </w:r>
          </w:p>
        </w:tc>
        <w:tc>
          <w:tcPr>
            <w:tcW w:w="13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i w:val="0"/>
                <w:color w:val="000000"/>
                <w:sz w:val="21"/>
                <w:szCs w:val="21"/>
                <w:u w:val="none"/>
                <w:lang w:val="en-US" w:eastAsia="zh-CN"/>
              </w:rPr>
              <w:t>2025年7月—2026年5月</w:t>
            </w:r>
          </w:p>
        </w:tc>
        <w:tc>
          <w:tcPr>
            <w:tcW w:w="930"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已完成用电设计改造、土地硬化、前期设计等项目核心建设内容</w:t>
            </w:r>
          </w:p>
        </w:tc>
        <w:tc>
          <w:tcPr>
            <w:tcW w:w="1140" w:type="dxa"/>
            <w:shd w:val="clear" w:color="auto" w:fill="auto"/>
            <w:vAlign w:val="center"/>
          </w:tcPr>
          <w:p>
            <w:pPr>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szCs w:val="21"/>
                <w:lang w:val="en-US" w:eastAsia="zh-CN"/>
              </w:rPr>
              <w:t>内蒙古五逧城智慧农贸批发市场有限公司</w:t>
            </w:r>
          </w:p>
        </w:tc>
        <w:tc>
          <w:tcPr>
            <w:tcW w:w="705"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864</w:t>
            </w:r>
          </w:p>
        </w:tc>
      </w:tr>
    </w:tbl>
    <w:p>
      <w:pPr>
        <w:rPr>
          <w:rFonts w:hint="eastAsia" w:ascii="仿宋_GB2312" w:hAnsi="仿宋_GB2312" w:eastAsia="仿宋_GB2312" w:cs="仿宋_GB2312"/>
          <w:sz w:val="32"/>
          <w:szCs w:val="32"/>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tabs>
          <w:tab w:val="left" w:pos="6252"/>
        </w:tabs>
        <w:bidi w:val="0"/>
        <w:jc w:val="left"/>
        <w:rPr>
          <w:rFonts w:hint="eastAsia"/>
          <w:lang w:val="en-US" w:eastAsia="zh-CN"/>
        </w:rPr>
      </w:pPr>
      <w:r>
        <w:rPr>
          <w:rFonts w:hint="eastAsia"/>
          <w:lang w:val="en-US" w:eastAsia="zh-CN"/>
        </w:rPr>
        <w:tab/>
      </w:r>
    </w:p>
    <w:p>
      <w:pPr>
        <w:ind w:firstLine="4800" w:firstLineChars="1500"/>
        <w:rPr>
          <w:rFonts w:hint="eastAsia" w:ascii="仿宋_GB2312" w:hAnsi="仿宋_GB2312" w:eastAsia="仿宋_GB2312" w:cs="仿宋_GB2312"/>
          <w:sz w:val="32"/>
          <w:szCs w:val="32"/>
          <w:lang w:val="en-US" w:eastAsia="zh-CN"/>
        </w:rPr>
      </w:pPr>
    </w:p>
    <w:p>
      <w:pPr>
        <w:rPr>
          <w:rFonts w:hint="default" w:eastAsiaTheme="minorEastAsia"/>
          <w:lang w:val="en-US" w:eastAsia="zh-CN"/>
        </w:rPr>
      </w:pPr>
    </w:p>
    <w:p/>
    <w:sectPr>
      <w:pgSz w:w="16838" w:h="11906" w:orient="landscape"/>
      <w:pgMar w:top="283" w:right="1440" w:bottom="28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746DB"/>
    <w:multiLevelType w:val="singleLevel"/>
    <w:tmpl w:val="7CE746D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E5F29"/>
    <w:rsid w:val="01141165"/>
    <w:rsid w:val="01323CE1"/>
    <w:rsid w:val="025A34EF"/>
    <w:rsid w:val="03600692"/>
    <w:rsid w:val="04CB4231"/>
    <w:rsid w:val="061834A6"/>
    <w:rsid w:val="063B4473"/>
    <w:rsid w:val="070B4DB8"/>
    <w:rsid w:val="070E48A8"/>
    <w:rsid w:val="07F12200"/>
    <w:rsid w:val="0A726EFC"/>
    <w:rsid w:val="0ADD081A"/>
    <w:rsid w:val="0B0E4E77"/>
    <w:rsid w:val="0B462863"/>
    <w:rsid w:val="0B9A495D"/>
    <w:rsid w:val="0CF32576"/>
    <w:rsid w:val="0E7E0566"/>
    <w:rsid w:val="0EB837FD"/>
    <w:rsid w:val="0F6A2898"/>
    <w:rsid w:val="0F704352"/>
    <w:rsid w:val="0FB6788B"/>
    <w:rsid w:val="0FE71C93"/>
    <w:rsid w:val="101C3B92"/>
    <w:rsid w:val="107F4121"/>
    <w:rsid w:val="11513D10"/>
    <w:rsid w:val="11691059"/>
    <w:rsid w:val="11AB1672"/>
    <w:rsid w:val="11E46932"/>
    <w:rsid w:val="11F12DFD"/>
    <w:rsid w:val="11F8062F"/>
    <w:rsid w:val="135E2714"/>
    <w:rsid w:val="15AE34DE"/>
    <w:rsid w:val="1695644C"/>
    <w:rsid w:val="16D50F3F"/>
    <w:rsid w:val="186E164B"/>
    <w:rsid w:val="187C3D68"/>
    <w:rsid w:val="18891FE1"/>
    <w:rsid w:val="191775ED"/>
    <w:rsid w:val="19276FF6"/>
    <w:rsid w:val="19726F19"/>
    <w:rsid w:val="1A952EBF"/>
    <w:rsid w:val="1A98475D"/>
    <w:rsid w:val="1B55264E"/>
    <w:rsid w:val="1BD6553D"/>
    <w:rsid w:val="1C0876C1"/>
    <w:rsid w:val="1C121D74"/>
    <w:rsid w:val="1C5446B4"/>
    <w:rsid w:val="1C5B3C94"/>
    <w:rsid w:val="1C6C7C4F"/>
    <w:rsid w:val="1E067C30"/>
    <w:rsid w:val="1E2A1B70"/>
    <w:rsid w:val="1FB042F7"/>
    <w:rsid w:val="1FC658C9"/>
    <w:rsid w:val="1FFC578E"/>
    <w:rsid w:val="201E74B3"/>
    <w:rsid w:val="20511636"/>
    <w:rsid w:val="20937EA1"/>
    <w:rsid w:val="20992FDD"/>
    <w:rsid w:val="209D0D1F"/>
    <w:rsid w:val="20BE2A44"/>
    <w:rsid w:val="216058A9"/>
    <w:rsid w:val="22635651"/>
    <w:rsid w:val="22934188"/>
    <w:rsid w:val="270C62B7"/>
    <w:rsid w:val="272F1FA5"/>
    <w:rsid w:val="28213FE4"/>
    <w:rsid w:val="28FB4835"/>
    <w:rsid w:val="293208EF"/>
    <w:rsid w:val="2A7E5F29"/>
    <w:rsid w:val="2ACB46DB"/>
    <w:rsid w:val="2B604E23"/>
    <w:rsid w:val="2BB37405"/>
    <w:rsid w:val="2BDF21EC"/>
    <w:rsid w:val="2CDF7FCA"/>
    <w:rsid w:val="2D1759B5"/>
    <w:rsid w:val="2D7B5F44"/>
    <w:rsid w:val="2DAF5BEE"/>
    <w:rsid w:val="2E114AFB"/>
    <w:rsid w:val="2E616BA4"/>
    <w:rsid w:val="2EB96429"/>
    <w:rsid w:val="2EC13E2B"/>
    <w:rsid w:val="2FA33530"/>
    <w:rsid w:val="2FAF0127"/>
    <w:rsid w:val="317C672F"/>
    <w:rsid w:val="31B1462B"/>
    <w:rsid w:val="329F4483"/>
    <w:rsid w:val="32B51EF8"/>
    <w:rsid w:val="32FB3683"/>
    <w:rsid w:val="337C2A16"/>
    <w:rsid w:val="350B5E00"/>
    <w:rsid w:val="36211653"/>
    <w:rsid w:val="363B44C3"/>
    <w:rsid w:val="37D921E5"/>
    <w:rsid w:val="382B0567"/>
    <w:rsid w:val="38C42E95"/>
    <w:rsid w:val="3B5D4EDB"/>
    <w:rsid w:val="3B7D732B"/>
    <w:rsid w:val="3C2D6FA3"/>
    <w:rsid w:val="3E1D6BA4"/>
    <w:rsid w:val="3E23240C"/>
    <w:rsid w:val="3E7A5DA4"/>
    <w:rsid w:val="3FA550A3"/>
    <w:rsid w:val="3FE1257F"/>
    <w:rsid w:val="402D7572"/>
    <w:rsid w:val="409C46F8"/>
    <w:rsid w:val="40D20119"/>
    <w:rsid w:val="40E85247"/>
    <w:rsid w:val="40EF4827"/>
    <w:rsid w:val="422A5979"/>
    <w:rsid w:val="423522EA"/>
    <w:rsid w:val="4255690C"/>
    <w:rsid w:val="43086074"/>
    <w:rsid w:val="44114AB5"/>
    <w:rsid w:val="4517259F"/>
    <w:rsid w:val="4582210E"/>
    <w:rsid w:val="46A70D68"/>
    <w:rsid w:val="478F466E"/>
    <w:rsid w:val="4C392DFB"/>
    <w:rsid w:val="4C5365B2"/>
    <w:rsid w:val="4CFD651E"/>
    <w:rsid w:val="4DC96400"/>
    <w:rsid w:val="4E1F4272"/>
    <w:rsid w:val="4E970642"/>
    <w:rsid w:val="50D41344"/>
    <w:rsid w:val="51A24F86"/>
    <w:rsid w:val="51B66C9C"/>
    <w:rsid w:val="51F83758"/>
    <w:rsid w:val="525E7A5F"/>
    <w:rsid w:val="52662470"/>
    <w:rsid w:val="527C6137"/>
    <w:rsid w:val="529214B7"/>
    <w:rsid w:val="54857525"/>
    <w:rsid w:val="57342B3C"/>
    <w:rsid w:val="577E200A"/>
    <w:rsid w:val="584B2834"/>
    <w:rsid w:val="5898534D"/>
    <w:rsid w:val="5A1804F3"/>
    <w:rsid w:val="5ACF04B7"/>
    <w:rsid w:val="5B4B66A7"/>
    <w:rsid w:val="5C0D7E00"/>
    <w:rsid w:val="5C166CB5"/>
    <w:rsid w:val="5CFD1C22"/>
    <w:rsid w:val="5D1551BE"/>
    <w:rsid w:val="5D550E14"/>
    <w:rsid w:val="5ED6097D"/>
    <w:rsid w:val="5EF13A09"/>
    <w:rsid w:val="5F3758C0"/>
    <w:rsid w:val="5F5A0084"/>
    <w:rsid w:val="5F955CFA"/>
    <w:rsid w:val="62FD297C"/>
    <w:rsid w:val="639C03E7"/>
    <w:rsid w:val="643B38A3"/>
    <w:rsid w:val="64C54CC9"/>
    <w:rsid w:val="65E676F8"/>
    <w:rsid w:val="66065FEC"/>
    <w:rsid w:val="66246472"/>
    <w:rsid w:val="667411A7"/>
    <w:rsid w:val="669E7FD2"/>
    <w:rsid w:val="67915D89"/>
    <w:rsid w:val="67FF2CF3"/>
    <w:rsid w:val="68E85E7D"/>
    <w:rsid w:val="693B5FAC"/>
    <w:rsid w:val="6A537326"/>
    <w:rsid w:val="6A75729C"/>
    <w:rsid w:val="6A7C687C"/>
    <w:rsid w:val="6AC36259"/>
    <w:rsid w:val="6BB930DF"/>
    <w:rsid w:val="6C0905E4"/>
    <w:rsid w:val="6DE94229"/>
    <w:rsid w:val="6F5E29F5"/>
    <w:rsid w:val="6F7A7103"/>
    <w:rsid w:val="712D267F"/>
    <w:rsid w:val="71B66B18"/>
    <w:rsid w:val="730431B5"/>
    <w:rsid w:val="730C2768"/>
    <w:rsid w:val="73497518"/>
    <w:rsid w:val="73B250BD"/>
    <w:rsid w:val="74A94712"/>
    <w:rsid w:val="76647C2E"/>
    <w:rsid w:val="76B37ACA"/>
    <w:rsid w:val="76D90BB3"/>
    <w:rsid w:val="782C7B34"/>
    <w:rsid w:val="790638CF"/>
    <w:rsid w:val="79D55FA9"/>
    <w:rsid w:val="7A326F58"/>
    <w:rsid w:val="7C2D3E7B"/>
    <w:rsid w:val="7C2D79D7"/>
    <w:rsid w:val="7D5E0064"/>
    <w:rsid w:val="7D657644"/>
    <w:rsid w:val="7DC600E3"/>
    <w:rsid w:val="7ECA59B1"/>
    <w:rsid w:val="7F0F1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6">
    <w:name w:val="Table Normal"/>
    <w:semiHidden/>
    <w:unhideWhenUsed/>
    <w:qFormat/>
    <w:uiPriority w:val="0"/>
    <w:tblPr>
      <w:tblLayout w:type="fixed"/>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1685</Words>
  <Characters>1844</Characters>
  <Lines>0</Lines>
  <Paragraphs>0</Paragraphs>
  <TotalTime>43</TotalTime>
  <ScaleCrop>false</ScaleCrop>
  <LinksUpToDate>false</LinksUpToDate>
  <CharactersWithSpaces>1942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2025-08-26T07:41:00Z</dcterms:created>
  <dc:creator>叫我张怼怼</dc:creator>
  <cp:lastModifiedBy>Administrator</cp:lastModifiedBy>
  <cp:lastPrinted>2025-09-01T10:32:00Z</cp:lastPrinted>
  <dcterms:modified xsi:type="dcterms:W3CDTF">2025-09-02T07:48:49Z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94594652800045C4A8632B10AE073F34_11</vt:lpwstr>
  </property>
  <property fmtid="{D5CDD505-2E9C-101B-9397-08002B2CF9AE}" pid="4" name="KSOTemplateDocerSaveRecord">
    <vt:lpwstr>eyJoZGlkIjoiN2U0NmU0MWQzMjFiOWRiYmM2NjRlN2MzYjNmZWI2M2IiLCJ1c2VySWQiOiI0MTA3NjI2MzMifQ==</vt:lpwstr>
  </property>
</Properties>
</file>