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140"/>
          <w:tab w:val="left" w:pos="1800"/>
          <w:tab w:val="left" w:pos="1980"/>
        </w:tabs>
        <w:snapToGrid w:val="0"/>
        <w:spacing w:line="600" w:lineRule="exact"/>
        <w:jc w:val="center"/>
        <w:outlineLvl w:val="1"/>
        <w:rPr>
          <w:rFonts w:ascii="方正小标宋_GBK" w:hAnsi="Times New Roman" w:eastAsia="方正小标宋_GBK"/>
          <w:sz w:val="44"/>
          <w:szCs w:val="44"/>
        </w:rPr>
      </w:pPr>
      <w:r>
        <w:rPr>
          <w:rFonts w:hint="eastAsia" w:ascii="方正小标宋_GBK" w:hAnsi="Times New Roman" w:eastAsia="方正小标宋_GBK"/>
          <w:sz w:val="44"/>
          <w:szCs w:val="44"/>
        </w:rPr>
        <w:t>巴彦淖尔供电公司打造一流用电营商环境助力高质量发展行动方案</w:t>
      </w:r>
    </w:p>
    <w:p>
      <w:pPr>
        <w:tabs>
          <w:tab w:val="left" w:pos="1140"/>
          <w:tab w:val="left" w:pos="1800"/>
          <w:tab w:val="left" w:pos="1980"/>
        </w:tabs>
        <w:snapToGrid w:val="0"/>
        <w:spacing w:line="600" w:lineRule="exact"/>
        <w:ind w:firstLine="640" w:firstLineChars="200"/>
        <w:outlineLvl w:val="1"/>
        <w:rPr>
          <w:rFonts w:ascii="仿宋_GB2312" w:hAnsi="仿宋_GB2312" w:eastAsia="仿宋_GB2312" w:cs="仿宋_GB2312"/>
          <w:sz w:val="32"/>
          <w:szCs w:val="32"/>
        </w:rPr>
      </w:pPr>
    </w:p>
    <w:p>
      <w:pPr>
        <w:tabs>
          <w:tab w:val="left" w:pos="1140"/>
          <w:tab w:val="left" w:pos="1800"/>
          <w:tab w:val="left" w:pos="1980"/>
        </w:tabs>
        <w:snapToGrid w:val="0"/>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为进一步服务地方经济发展、保障社会民生福祉，以更高站位、更强担当、更实举措推进电力营商环境再优化、再升级，努力推动高质量发展取得新成效，制定本方案。</w:t>
      </w:r>
    </w:p>
    <w:p>
      <w:pPr>
        <w:tabs>
          <w:tab w:val="left" w:pos="1140"/>
          <w:tab w:val="left" w:pos="1800"/>
          <w:tab w:val="left" w:pos="1980"/>
        </w:tabs>
        <w:snapToGrid w:val="0"/>
        <w:spacing w:line="600" w:lineRule="exact"/>
        <w:ind w:firstLine="640" w:firstLineChars="200"/>
        <w:outlineLvl w:val="1"/>
        <w:rPr>
          <w:rFonts w:ascii="黑体" w:hAnsi="黑体" w:eastAsia="黑体" w:cs="黑体"/>
          <w:sz w:val="32"/>
          <w:szCs w:val="32"/>
        </w:rPr>
      </w:pPr>
      <w:bookmarkStart w:id="0" w:name="_Toc1935"/>
      <w:bookmarkStart w:id="1" w:name="_Toc10192"/>
      <w:bookmarkStart w:id="2" w:name="_Toc26086"/>
      <w:r>
        <w:rPr>
          <w:rFonts w:hint="eastAsia" w:ascii="黑体" w:hAnsi="黑体" w:eastAsia="黑体" w:cs="黑体"/>
          <w:sz w:val="32"/>
          <w:szCs w:val="32"/>
        </w:rPr>
        <w:t>一、指导思想</w:t>
      </w:r>
      <w:bookmarkEnd w:id="0"/>
      <w:bookmarkEnd w:id="1"/>
      <w:bookmarkEnd w:id="2"/>
    </w:p>
    <w:p>
      <w:pPr>
        <w:tabs>
          <w:tab w:val="left" w:pos="1140"/>
          <w:tab w:val="left" w:pos="1800"/>
          <w:tab w:val="left" w:pos="1980"/>
        </w:tabs>
        <w:snapToGrid w:val="0"/>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引，深入贯彻党的二十大关于深入推进能源革命、确保能源安全、加快规划建设新型能源体系的要求，积极推进自治区生态、安全、能源、农畜、开放“五大任务”，深入落实全区招商引资暨优化营商环境大会会议精神。按照巴彦淖尔市委市政府、内蒙古电力（集团）有限责任公司进一步优化营商环境决策部署，巴彦淖尔供电公司坚持以服务地方经济发展为己任，持续建设坚强电网。以客户为中心，以优化用电营商环境为抓手，不断提升优质服务水平，全方位满足客户用电需求，为巴彦淖尔市招商引资提供优质能源保障。立足巴彦淖尔市全域农牧产业特色，打造“河套巴电，赋能新程”品牌，大力推动“责任蒙电、绿色蒙电、数字蒙电、开放蒙电”建设，全力以赴“促发展、谋共富、惠民生、助双碳”，为河套百姓照亮小康之路</w:t>
      </w:r>
      <w:bookmarkStart w:id="3" w:name="_Toc24360"/>
      <w:bookmarkStart w:id="4" w:name="_Toc3051"/>
      <w:bookmarkStart w:id="5" w:name="_Toc2282"/>
      <w:r>
        <w:rPr>
          <w:rFonts w:hint="eastAsia" w:ascii="仿宋_GB2312" w:hAnsi="仿宋_GB2312" w:eastAsia="仿宋_GB2312" w:cs="仿宋_GB2312"/>
          <w:sz w:val="32"/>
          <w:szCs w:val="32"/>
        </w:rPr>
        <w:t>。</w:t>
      </w:r>
    </w:p>
    <w:p>
      <w:pPr>
        <w:tabs>
          <w:tab w:val="left" w:pos="1140"/>
          <w:tab w:val="left" w:pos="1800"/>
          <w:tab w:val="left" w:pos="1980"/>
        </w:tabs>
        <w:snapToGrid w:val="0"/>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二、工作目标</w:t>
      </w:r>
      <w:bookmarkEnd w:id="3"/>
      <w:bookmarkEnd w:id="4"/>
      <w:bookmarkEnd w:id="5"/>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打造“办电效率最高、供电质量最好、服务品质最优”的用电营商环境，全力创建全国用电营商环境特色城市，为城市高质量发展保驾护航。</w:t>
      </w:r>
    </w:p>
    <w:p>
      <w:pPr>
        <w:pStyle w:val="6"/>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一)办电效率最高。一是办电环节最少：低压客户(220/380伏，下同)办电环节保持“申请签约”“施工送电”2个环节；10千伏高压用户办电环节压减为3个：“业务受理”、“供电方案答复”和“装表接电”（竣工验收通过后同步装表接电），通过优化供电方案答复流程，利用云服务平台实现报装容量1250千伏安及以下的供电方案“一键生成、在线比选、当天答复”，将业务受理环节与供电方案答复环节合并，办电环节进一步压缩为2个</w:t>
      </w:r>
      <w:r>
        <w:rPr>
          <w:rFonts w:hint="eastAsia" w:ascii="仿宋_GB2312" w:hAnsi="仿宋_GB2312" w:eastAsia="仿宋_GB2312" w:cs="仿宋_GB2312"/>
          <w:kern w:val="2"/>
          <w:sz w:val="32"/>
          <w:szCs w:val="32"/>
          <w:highlight w:val="none"/>
          <w:lang w:val="en-US" w:eastAsia="zh-CN" w:bidi="ar-SA"/>
        </w:rPr>
        <w:t>“申请答复、装表接电”。</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30" w:firstLineChars="300"/>
        <w:textAlignment w:val="auto"/>
        <w:rPr>
          <w:rFonts w:ascii="仿宋_GB2312" w:hAnsi="仿宋_GB2312" w:eastAsia="仿宋_GB2312" w:cs="仿宋_GB2312"/>
          <w:sz w:val="32"/>
          <w:szCs w:val="32"/>
          <w:highlight w:val="none"/>
        </w:rPr>
      </w:pPr>
      <w:r>
        <w:rPr>
          <w:rStyle w:val="18"/>
          <w:rFonts w:hint="eastAsia"/>
          <w:highlight w:val="none"/>
          <w:lang w:val="en-US" w:eastAsia="zh-CN"/>
        </w:rPr>
        <w:t xml:space="preserve"> </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办电时间最短：“三零”低压客户平均接电时限5个工作日，无外线工程平均接电不超过3个工作日;10千伏普通高压客户平均接电时限30个工作日，最优实现17个工作日;未实行“三零”服务的低压非居民客户、高压单电源客户、双电源客户的供电企业办理用电报装业务各环节办理时间分别压</w:t>
      </w:r>
      <w:bookmarkStart w:id="44" w:name="_GoBack"/>
      <w:bookmarkEnd w:id="44"/>
      <w:r>
        <w:rPr>
          <w:rFonts w:hint="eastAsia" w:ascii="仿宋_GB2312" w:hAnsi="仿宋_GB2312" w:eastAsia="仿宋_GB2312" w:cs="仿宋_GB2312"/>
          <w:sz w:val="32"/>
          <w:szCs w:val="32"/>
          <w:highlight w:val="none"/>
        </w:rPr>
        <w:t>减至2个、1个、13个工作日以内。全面推广线上报装和线上答复供电方案，确保线上报装率达到97%以上。</w:t>
      </w:r>
    </w:p>
    <w:p>
      <w:pPr>
        <w:suppressAutoHyphens/>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(二)供电质量最好。</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rPr>
        <w:t>中心区、市区、城镇、农村地区客户年均停电时间分别压减至1.95个、4.95个、5.9个、14.9个小时以内，不停电作业化率不低于74%。</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故障恢复最快，落实城区45分钟内，农村地区60分钟内，边远地区</w:t>
      </w:r>
      <w:r>
        <w:rPr>
          <w:rFonts w:hint="eastAsia" w:ascii="仿宋_GB2312" w:hAnsi="仿宋_GB2312" w:eastAsia="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0分钟内到达现场。</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sz w:val="32"/>
          <w:szCs w:val="32"/>
          <w:highlight w:val="none"/>
        </w:rPr>
        <w:t>安全管理最优：进一步压减配网电缆故障频次，电缆故障次数同比下降幅度不低于5%。</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t>(三)服务品质最优。</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rPr>
        <w:t>电价更透明：加大信息公示力度，全渠道公开电价调整信息及电价执行政策。与政府部门共同建立转供电主体信用惩戒、违规曝光等长效管理制度，推广“转供电费码”小程序，确保政策红利传递至终端客户。</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便捷度更高：积极拓展公司营销系统与全区一体化政务服务平台蒙速办APP全面对接，推动政务数据共享，推广网上营业厅、蒙电E家APP等线上服务渠道，常办业务上线率达100%，“刷脸办电”率达92%以上。</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sz w:val="32"/>
          <w:szCs w:val="32"/>
          <w:highlight w:val="none"/>
        </w:rPr>
        <w:t>客户诉求处理更高效：95598百万客户投诉量不超18次，保持集团公司先进水平。</w:t>
      </w:r>
      <w:r>
        <w:rPr>
          <w:rFonts w:hint="eastAsia" w:ascii="仿宋_GB2312" w:hAnsi="仿宋_GB2312" w:eastAsia="仿宋_GB2312" w:cs="仿宋_GB2312"/>
          <w:sz w:val="32"/>
          <w:szCs w:val="32"/>
          <w:highlight w:val="none"/>
          <w:lang w:eastAsia="zh-CN"/>
        </w:rPr>
        <w:t>畅通</w:t>
      </w:r>
      <w:r>
        <w:rPr>
          <w:rFonts w:hint="eastAsia" w:ascii="仿宋_GB2312" w:hAnsi="仿宋_GB2312" w:eastAsia="仿宋_GB2312" w:cs="仿宋_GB2312"/>
          <w:sz w:val="32"/>
          <w:szCs w:val="32"/>
          <w:highlight w:val="none"/>
        </w:rPr>
        <w:t>政府“12345”、能监办</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12398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热线</w:t>
      </w:r>
      <w:r>
        <w:rPr>
          <w:rFonts w:hint="eastAsia" w:ascii="仿宋_GB2312" w:hAnsi="仿宋_GB2312" w:eastAsia="仿宋_GB2312" w:cs="仿宋_GB2312"/>
          <w:sz w:val="32"/>
          <w:szCs w:val="32"/>
          <w:highlight w:val="none"/>
          <w:lang w:eastAsia="zh-CN"/>
        </w:rPr>
        <w:t>、市场监督管理局、市发改委等市直部门</w:t>
      </w:r>
      <w:r>
        <w:rPr>
          <w:rFonts w:hint="eastAsia" w:ascii="仿宋_GB2312" w:hAnsi="仿宋_GB2312" w:eastAsia="仿宋_GB2312" w:cs="仿宋_GB2312"/>
          <w:sz w:val="32"/>
          <w:szCs w:val="32"/>
          <w:highlight w:val="none"/>
        </w:rPr>
        <w:t>诉求办理</w:t>
      </w:r>
      <w:r>
        <w:rPr>
          <w:rFonts w:hint="eastAsia" w:ascii="仿宋_GB2312" w:hAnsi="仿宋_GB2312" w:eastAsia="仿宋_GB2312" w:cs="仿宋_GB2312"/>
          <w:sz w:val="32"/>
          <w:szCs w:val="32"/>
          <w:highlight w:val="none"/>
          <w:lang w:eastAsia="zh-CN"/>
        </w:rPr>
        <w:t>渠道</w:t>
      </w:r>
      <w:r>
        <w:rPr>
          <w:rFonts w:hint="eastAsia" w:ascii="仿宋_GB2312" w:hAnsi="仿宋_GB2312" w:eastAsia="仿宋_GB2312" w:cs="仿宋_GB2312"/>
          <w:sz w:val="32"/>
          <w:szCs w:val="32"/>
          <w:highlight w:val="none"/>
        </w:rPr>
        <w:t>，工单处理响应率100%，办结率100%，满意率 98%以上，解决率95%以上。</w:t>
      </w:r>
      <w:r>
        <w:rPr>
          <w:rFonts w:hint="eastAsia" w:ascii="仿宋_GB2312" w:hAnsi="仿宋_GB2312" w:eastAsia="仿宋_GB2312" w:cs="仿宋_GB2312"/>
          <w:sz w:val="32"/>
          <w:szCs w:val="32"/>
          <w:highlight w:val="none"/>
        </w:rPr>
        <w:tab/>
      </w:r>
    </w:p>
    <w:p>
      <w:pPr>
        <w:pStyle w:val="22"/>
        <w:tabs>
          <w:tab w:val="left" w:pos="1418"/>
        </w:tabs>
        <w:spacing w:line="600" w:lineRule="exact"/>
        <w:ind w:firstLine="640"/>
        <w:rPr>
          <w:rFonts w:ascii="黑体" w:hAnsi="黑体" w:eastAsia="黑体" w:cs="黑体"/>
          <w:sz w:val="32"/>
          <w:szCs w:val="32"/>
          <w:highlight w:val="none"/>
        </w:rPr>
      </w:pPr>
      <w:bookmarkStart w:id="6" w:name="_Toc29269"/>
      <w:bookmarkStart w:id="7" w:name="_Toc29552"/>
      <w:bookmarkStart w:id="8" w:name="_Toc3959"/>
      <w:r>
        <w:rPr>
          <w:rFonts w:hint="eastAsia" w:ascii="黑体" w:hAnsi="黑体" w:eastAsia="黑体" w:cs="黑体"/>
          <w:sz w:val="32"/>
          <w:szCs w:val="32"/>
          <w:highlight w:val="none"/>
        </w:rPr>
        <w:t>三、</w:t>
      </w:r>
      <w:bookmarkEnd w:id="6"/>
      <w:bookmarkEnd w:id="7"/>
      <w:bookmarkEnd w:id="8"/>
      <w:r>
        <w:rPr>
          <w:rFonts w:hint="eastAsia" w:ascii="黑体" w:hAnsi="黑体" w:eastAsia="黑体" w:cs="黑体"/>
          <w:sz w:val="32"/>
          <w:szCs w:val="32"/>
          <w:highlight w:val="none"/>
        </w:rPr>
        <w:t>工作任务</w:t>
      </w:r>
      <w:bookmarkStart w:id="9" w:name="_Toc14022"/>
      <w:bookmarkStart w:id="10" w:name="_Toc9026"/>
      <w:bookmarkStart w:id="11" w:name="_Toc11412"/>
      <w:bookmarkStart w:id="12" w:name="_Toc32702"/>
    </w:p>
    <w:p>
      <w:pPr>
        <w:pStyle w:val="22"/>
        <w:tabs>
          <w:tab w:val="left" w:pos="1418"/>
        </w:tabs>
        <w:spacing w:line="600" w:lineRule="exact"/>
        <w:ind w:firstLine="643"/>
        <w:rPr>
          <w:highlight w:val="none"/>
        </w:rPr>
      </w:pPr>
      <w:r>
        <w:rPr>
          <w:rFonts w:hint="eastAsia" w:ascii="仿宋_GB2312" w:hAnsi="仿宋_GB2312" w:eastAsia="仿宋_GB2312" w:cs="仿宋_GB2312"/>
          <w:b/>
          <w:bCs/>
          <w:sz w:val="32"/>
          <w:szCs w:val="32"/>
          <w:highlight w:val="none"/>
        </w:rPr>
        <w:t>(一)</w:t>
      </w:r>
      <w:bookmarkEnd w:id="9"/>
      <w:bookmarkEnd w:id="10"/>
      <w:bookmarkEnd w:id="11"/>
      <w:bookmarkEnd w:id="12"/>
      <w:r>
        <w:rPr>
          <w:rFonts w:hint="eastAsia" w:ascii="仿宋_GB2312" w:hAnsi="仿宋_GB2312" w:eastAsia="仿宋_GB2312" w:cs="仿宋_GB2312"/>
          <w:b/>
          <w:bCs/>
          <w:sz w:val="32"/>
          <w:szCs w:val="32"/>
          <w:highlight w:val="none"/>
        </w:rPr>
        <w:t>贯彻电等发展理念，全力服务招商大局</w:t>
      </w:r>
    </w:p>
    <w:p>
      <w:pPr>
        <w:suppressAutoHyphens/>
        <w:spacing w:line="600" w:lineRule="exact"/>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1.深度推动政企联动服务，前移服务至招商阶段</w:t>
      </w:r>
    </w:p>
    <w:p>
      <w:pPr>
        <w:suppressAutoHyphens/>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sz w:val="32"/>
          <w:szCs w:val="32"/>
        </w:rPr>
        <w:t>认真扮演好招商引资的“电保姆”，积极对接政府相关部门，建立供电企业、政府相关部门、用电企业三方常态会商协作机制，及时掌握区域规划安排，重点衔接国土空间规划、城乡发展规划，进一步深化对招商引资电力要素保障，从销售电价形成机制、变化影响、执行情况等方面深入分析研究，形成政策解读及电价策略，充分用好用活政府出台的优惠政策，为企业用户提供用电整体投资最优方案，切实为企业用户节约真金白银。</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与政府招商部门沟通对接，深化政企联动，重点就招商引资、基础设施投入等问题进行交流，详细了解招商引资项目，掌握入驻企业动态，利用“网格化”服务监管形成大走访机制，充分发挥电力客户服务中心职能，前移供电服务窗口，定期对政府潜在项目、在谈项目开展走访调研，与招商引资重大项目建立协调对接工作机制，对所有项目中所涉及的供电要求、政策处理等问题进行对接，深入落户企业和重点客户，了解用电和服务需求，超前收集客户用电需求信息，实行“一企一策”，建立专项服务档案；为客户提供“一对一”顾问式服务，主动走访对接；建立“一户一册”资料库，面对面与企业负责人进行交流，了解客户用电意向及生产用电需求，按期开展电网规划及修编，部署配套电力设施建设与项目设计。</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对于招商引资考察项目及新建项目，全程提供跟踪服务，进行电话跟踪服务和现场服务，快速解决项目建设过程中的用电问题，主动提供项目施工前的用电咨询服务，指导客户合理经济用电，引导客户工程科学规划、标准化建设，为企业节能出谋划策，减少客户用能成本支出；向企业负责人宣讲电力法律法规、用电政策和服务新举措，积极推广各类供电服务渠道，实时了解并协助客户解决用电过程中，最直接、最突出的难点问题，提供有针对性的电力法律、法规、电价政策、需求侧管理、供电形势等方面的技术咨询，征询客户对供电服务、供电质量、电费缴纳等方面的意见和建议。</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根据企业的不同用电特点，提前了解客户用电方面的需求，为客户量身制定用电方案，实现服务资源与需求响应最佳适配，积极配合政府推动重点项目建设投资，针对重要产业和重大项目用电需求，强化政企联动，完善供电企业、政府有关部门、用电企业三方沟通协商机制，及时协调解决项目推进中的用电问题，合力推进重点招商引资项目建设。</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numPr>
          <w:ilvl w:val="0"/>
          <w:numId w:val="1"/>
        </w:num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营销服务部负责与政府相关部门建立、完善三方会商机制、招商引资项目超前服务机制，并监督相关服务举措落地落实。(2023年6月)</w:t>
      </w:r>
    </w:p>
    <w:p>
      <w:pPr>
        <w:suppressAutoHyphens/>
        <w:spacing w:line="600" w:lineRule="exact"/>
        <w:ind w:firstLine="640" w:firstLineChars="200"/>
      </w:pPr>
      <w:r>
        <w:rPr>
          <w:rFonts w:hint="eastAsia" w:ascii="仿宋_GB2312" w:hAnsi="仿宋_GB2312" w:eastAsia="仿宋_GB2312" w:cs="仿宋_GB2312"/>
          <w:sz w:val="32"/>
          <w:szCs w:val="32"/>
        </w:rPr>
        <w:t>(2)计划发展部负责对接政府招商引资项目接入涉及的电网规划工作。(2023年6月)</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2.深度贯通工程审批平台，加速重大项目落地落实</w:t>
      </w:r>
    </w:p>
    <w:p>
      <w:pPr>
        <w:suppressAutoHyphens/>
        <w:spacing w:line="60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sz w:val="32"/>
          <w:szCs w:val="32"/>
        </w:rPr>
        <w:t>建立与各级招商管理部门常态化信息传递机制，保证所有招商引资项目100%纳入项目储备库，超前对接客户，提前留出电源布点和接入容量，确保客户“即来即接”。</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完成营销系统与工程项目审批平台系统全面对接，实现项目立项信息、规划信息和施工许可信息的及时共享，提供全过程用电跟踪服务，推动项目尽快送电。</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针对落户企业的业扩工程，积极推行“双经理”负责制，明确客户经理主动引导客户办理相关用电申请手续，及时跟进项目建设进展情况，上门办理用电手续，提升报装服务水平。项目经理提供一对一、全过程服务，认真做好现场勘查、方案设定、工程送电、合同签订等各环节业务，最大程度减少办电材料、压减办电环节、降低办电成本，缩短办电周期，提升供电效率，架起供用电和谐桥梁，加快推进项目早落地、早建设、早投产。</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电力工程接入事项线上行政审批机制，对市政项目及低压电力线路工程，继续推行接入工程免审批</w:t>
      </w:r>
      <w:r>
        <w:rPr>
          <w:rFonts w:hint="eastAsia" w:ascii="仿宋_GB2312" w:hAnsi="仿宋_GB2312" w:eastAsia="仿宋_GB2312" w:cs="仿宋_GB2312"/>
          <w:sz w:val="32"/>
          <w:szCs w:val="32"/>
          <w:lang w:eastAsia="zh-CN"/>
        </w:rPr>
        <w:t>告知承诺制</w:t>
      </w:r>
      <w:r>
        <w:rPr>
          <w:rFonts w:hint="eastAsia" w:ascii="仿宋_GB2312" w:hAnsi="仿宋_GB2312" w:eastAsia="仿宋_GB2312" w:cs="仿宋_GB2312"/>
          <w:sz w:val="32"/>
          <w:szCs w:val="32"/>
        </w:rPr>
        <w:t>，依托工程建设项目审批平台</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免审批线上</w:t>
      </w:r>
      <w:r>
        <w:rPr>
          <w:rFonts w:hint="eastAsia" w:ascii="仿宋_GB2312" w:hAnsi="仿宋_GB2312" w:eastAsia="仿宋_GB2312" w:cs="仿宋_GB2312"/>
          <w:sz w:val="32"/>
          <w:szCs w:val="32"/>
          <w:lang w:eastAsia="zh-CN"/>
        </w:rPr>
        <w:t>备案</w:t>
      </w:r>
      <w:r>
        <w:rPr>
          <w:rFonts w:hint="eastAsia" w:ascii="仿宋_GB2312" w:hAnsi="仿宋_GB2312" w:eastAsia="仿宋_GB2312" w:cs="仿宋_GB2312"/>
          <w:sz w:val="32"/>
          <w:szCs w:val="32"/>
        </w:rPr>
        <w:t>，同时高压电力线路工程接入涉及的破路、破绿、占用道路等相关行政审批</w:t>
      </w:r>
      <w:r>
        <w:rPr>
          <w:rFonts w:hint="eastAsia" w:ascii="仿宋_GB2312" w:hAnsi="仿宋_GB2312" w:eastAsia="仿宋_GB2312" w:cs="仿宋_GB2312"/>
          <w:sz w:val="32"/>
          <w:szCs w:val="32"/>
          <w:highlight w:val="none"/>
        </w:rPr>
        <w:t>事项依托工程建设项目审批平台，</w:t>
      </w:r>
      <w:r>
        <w:rPr>
          <w:rFonts w:hint="eastAsia" w:ascii="仿宋_GB2312" w:hAnsi="仿宋_GB2312" w:eastAsia="仿宋_GB2312" w:cs="仿宋_GB2312"/>
          <w:sz w:val="32"/>
          <w:szCs w:val="32"/>
          <w:highlight w:val="none"/>
          <w:lang w:eastAsia="zh-CN"/>
        </w:rPr>
        <w:t>全面推广线上</w:t>
      </w:r>
      <w:r>
        <w:rPr>
          <w:rFonts w:hint="eastAsia" w:ascii="仿宋_GB2312" w:hAnsi="仿宋_GB2312" w:eastAsia="仿宋_GB2312" w:cs="仿宋_GB2312"/>
          <w:sz w:val="32"/>
          <w:szCs w:val="32"/>
          <w:highlight w:val="none"/>
        </w:rPr>
        <w:t>并联审批流程，实行全程在线并联限时审批</w:t>
      </w:r>
      <w:r>
        <w:rPr>
          <w:rFonts w:hint="eastAsia" w:ascii="仿宋_GB2312" w:hAnsi="仿宋_GB2312" w:eastAsia="仿宋_GB2312" w:cs="仿宋_GB2312"/>
          <w:sz w:val="32"/>
          <w:szCs w:val="32"/>
          <w:highlight w:val="none"/>
          <w:lang w:eastAsia="zh-CN"/>
        </w:rPr>
        <w:t>，供电公司提供帮代办服务，代替客户完成线上并联审批，审批结果自动反馈供电公司。</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numPr>
          <w:ilvl w:val="0"/>
          <w:numId w:val="2"/>
        </w:num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营销服务部负责协调政府审批部门细化业扩项目报装、审批管理内容及其配套服务细则。(2023年6月)</w:t>
      </w:r>
    </w:p>
    <w:p>
      <w:pPr>
        <w:pStyle w:val="2"/>
        <w:ind w:firstLine="640"/>
      </w:pPr>
      <w:r>
        <w:rPr>
          <w:rFonts w:hint="eastAsia" w:ascii="仿宋_GB2312" w:hAnsi="仿宋_GB2312" w:eastAsia="仿宋_GB2312" w:cs="仿宋_GB2312"/>
          <w:sz w:val="32"/>
          <w:szCs w:val="32"/>
        </w:rPr>
        <w:t>(2) 生产部负责业扩配套工程实施管理工作。(长期)</w:t>
      </w:r>
    </w:p>
    <w:p>
      <w:pPr>
        <w:spacing w:line="600" w:lineRule="exact"/>
        <w:ind w:firstLine="643" w:firstLineChars="200"/>
        <w:rPr>
          <w:b/>
          <w:bCs/>
        </w:rPr>
      </w:pPr>
      <w:bookmarkStart w:id="13" w:name="_Toc29535"/>
      <w:bookmarkStart w:id="14" w:name="_Toc15815"/>
      <w:bookmarkStart w:id="15" w:name="_Toc5942"/>
      <w:bookmarkStart w:id="16" w:name="_Toc17751"/>
      <w:r>
        <w:rPr>
          <w:rFonts w:hint="eastAsia" w:ascii="仿宋_GB2312" w:hAnsi="仿宋_GB2312" w:eastAsia="仿宋_GB2312" w:cs="仿宋_GB2312"/>
          <w:b/>
          <w:bCs/>
          <w:sz w:val="32"/>
          <w:szCs w:val="32"/>
        </w:rPr>
        <w:t>(二)</w:t>
      </w:r>
      <w:bookmarkEnd w:id="13"/>
      <w:bookmarkEnd w:id="14"/>
      <w:bookmarkEnd w:id="15"/>
      <w:bookmarkEnd w:id="16"/>
      <w:r>
        <w:rPr>
          <w:rFonts w:hint="eastAsia" w:ascii="仿宋_GB2312" w:hAnsi="仿宋_GB2312" w:eastAsia="仿宋_GB2312" w:cs="仿宋_GB2312"/>
          <w:b/>
          <w:bCs/>
          <w:sz w:val="32"/>
          <w:szCs w:val="32"/>
        </w:rPr>
        <w:t>深化政务数据贯通，办电更加便捷透明</w:t>
      </w:r>
    </w:p>
    <w:p>
      <w:pPr>
        <w:suppressAutoHyphens/>
        <w:spacing w:line="600" w:lineRule="exact"/>
        <w:ind w:firstLine="643" w:firstLineChars="200"/>
        <w:rPr>
          <w:rFonts w:ascii="仿宋_GB2312" w:hAnsi="仿宋_GB2312" w:eastAsia="仿宋_GB2312" w:cs="仿宋_GB2312"/>
          <w:b/>
          <w:bCs/>
          <w:sz w:val="32"/>
          <w:szCs w:val="32"/>
        </w:rPr>
      </w:pPr>
      <w:bookmarkStart w:id="17" w:name="_Toc2662"/>
      <w:bookmarkStart w:id="18" w:name="_Toc30896"/>
      <w:bookmarkStart w:id="19" w:name="_Toc19086"/>
      <w:bookmarkStart w:id="20" w:name="_Toc31659"/>
      <w:r>
        <w:rPr>
          <w:rFonts w:hint="eastAsia" w:ascii="仿宋_GB2312" w:hAnsi="仿宋_GB2312" w:eastAsia="仿宋_GB2312" w:cs="仿宋_GB2312"/>
          <w:b/>
          <w:bCs/>
          <w:sz w:val="32"/>
          <w:szCs w:val="32"/>
        </w:rPr>
        <w:t>1.深化政务数据互联互通，常态化实现“零证办电”</w:t>
      </w:r>
    </w:p>
    <w:p>
      <w:pPr>
        <w:suppressAutoHyphens/>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kern w:val="0"/>
          <w:sz w:val="32"/>
          <w:szCs w:val="32"/>
        </w:rPr>
        <w:t>大力推广“互联网+用电”服务，依托“蒙电e家、蒙速办、微信公众号、95598、政务服务平台”五大渠道，全业务推行线上办理，全面实现用电过户业务“无感办”、用户办电“一次都不跑”。</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rPr>
        <w:t>深化电子证照、电子印章、电子发票、电子合同等政务信息共享应用，优化拓展线上渠道功能，居民用户采取“人脸识别”认证方式申请用电业务或企业通过线上渠道申请办电业务时，可授权供电企业自动调取客户电子身份证、不动产证照</w:t>
      </w:r>
      <w:r>
        <w:rPr>
          <w:rFonts w:hint="eastAsia" w:ascii="仿宋_GB2312" w:hAnsi="仿宋_GB2312" w:eastAsia="仿宋_GB2312" w:cs="仿宋_GB2312"/>
          <w:kern w:val="0"/>
          <w:sz w:val="32"/>
          <w:szCs w:val="32"/>
          <w:lang w:eastAsia="zh-CN"/>
        </w:rPr>
        <w:t>、营业执照等</w:t>
      </w:r>
      <w:r>
        <w:rPr>
          <w:rFonts w:hint="eastAsia" w:ascii="仿宋_GB2312" w:hAnsi="仿宋_GB2312" w:eastAsia="仿宋_GB2312" w:cs="仿宋_GB2312"/>
          <w:kern w:val="0"/>
          <w:sz w:val="32"/>
          <w:szCs w:val="32"/>
        </w:rPr>
        <w:t>信息及电子签章，完成在线报装和合同签订，实现真正意义的“刷脸办电”、“一证办电”。</w:t>
      </w: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进一步完善政务服务平台、蒙速办、95598，蒙电e家，微信公众号等线上平台业务办理功能办理模块和流程，常态化实现客户证照、产权证明、规划许可、项目批复、施工许可等信息资料共享调用。</w:t>
      </w:r>
      <w:r>
        <w:rPr>
          <w:rFonts w:hint="eastAsia" w:ascii="仿宋_GB2312" w:hAnsi="仿宋_GB2312" w:eastAsia="仿宋_GB2312" w:cs="仿宋_GB2312"/>
          <w:b/>
          <w:bCs/>
          <w:kern w:val="0"/>
          <w:sz w:val="32"/>
          <w:szCs w:val="32"/>
        </w:rPr>
        <w:t>四是</w:t>
      </w:r>
      <w:r>
        <w:rPr>
          <w:rFonts w:hint="eastAsia" w:ascii="仿宋_GB2312" w:hAnsi="仿宋_GB2312" w:eastAsia="仿宋_GB2312" w:cs="仿宋_GB2312"/>
          <w:kern w:val="0"/>
          <w:sz w:val="32"/>
          <w:szCs w:val="32"/>
        </w:rPr>
        <w:t>进一步精简办电资料，降低报装门槛，对5G基站、市政路灯、道路景观等分布范围广，用电主体较为单一的市政项目，产权证明等共性材料一次收取，无需重复提供，根据条件适当扩大无产权报装范围。</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（1）营销服务部负责完善政企数据互通平台建设、明确配套服务管理内容、指导基层单位做好政策执行。(长期)</w:t>
      </w:r>
    </w:p>
    <w:p>
      <w:pPr>
        <w:pStyle w:val="2"/>
      </w:pP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2.全面加大信息公示力度，全方位实现“透明办电”</w:t>
      </w:r>
    </w:p>
    <w:p>
      <w:pPr>
        <w:suppressAutoHyphens/>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sz w:val="32"/>
          <w:szCs w:val="32"/>
        </w:rPr>
        <w:t>持续做好政务服务大厅政企业务联办，与12345政务服务热线协同联办。进一步简化业务流程，公开涉电业务“一件事一次办”服务事项，加强“获得电力一件事”主题专栏宣传。</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大服务承诺公开，通过线上线下全渠道全面公开业扩流程、作业标准、办理时限等信息。严格按照时间节点做好政策法规，电网运行信息，电网资源信息，业扩工程信息等公示公开工作，及时公式和宣传内部涉及市场主体利益相关的管理措施，持续提升电网服务透明度，深入挖掘应用95598、12345服务热线，各类咨询业务，及时准确对外发布客户关心、关注的热点信息。严格落实费率调整提前公示机制，各级价格主管部门制定或调整涉及终端电力客户用电价格的政策文件，须提前一个月通过发改委及各级价格主管部门的门户网站向社会公布，对于电价变动，主动在网厅、APP、微信、自助终端机、营业网点公开新政策文件。</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大力推广“物流式”办电，接入流程公开透明。客户可以线上申请用电业务，在线查看、确认供电方案，系统会主动提醒客户自主选择具备相应资质的设计及施工单位进行设计施工，并提供相关链接，充分保障客户自主选择权和知情权。持续推进行政审批线上办理、工程竣工线上报验、供电合同线上签约、服务质量线上评价，提升客户办电体验。</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营销服务部负责协调、监督各渠道的信息公开工作。(长期)</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3.强化水电气暖联合服务，同质化实现“一窗服务”</w:t>
      </w:r>
    </w:p>
    <w:p>
      <w:pPr>
        <w:suppressAutoHyphens/>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sz w:val="32"/>
          <w:szCs w:val="32"/>
        </w:rPr>
        <w:t>继续推广“房产+用电”联合过户“一窗办结”等便民举措。</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强化公共服务事项联动，依托市政务服务信息数据互联互通，推行水、电、气、暖、网等公共服务事项线上联合报装，用户在申请新装用电时，可自主选择同时办理供水、供气、供暖以及通讯网络新装业务，申请工单线上流转至供水、供气、供暖、通讯等相关业务单位，各相关服务单位自主对接，实现水电气暖网同步报装、联合踏勘、全程网办、限时接入。</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lang w:eastAsia="zh-CN"/>
        </w:rPr>
        <w:t>推进</w:t>
      </w:r>
      <w:r>
        <w:rPr>
          <w:rFonts w:hint="eastAsia" w:ascii="仿宋_GB2312" w:hAnsi="仿宋_GB2312" w:eastAsia="仿宋_GB2312" w:cs="仿宋_GB2312"/>
          <w:sz w:val="32"/>
          <w:szCs w:val="32"/>
        </w:rPr>
        <w:t>不同公用事业供应商的市政基础设施数据库和地理信息系统共享，促进市政基础报装协同操作，提升水电气暖网的同步受理、联合踏勘工作效率。</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营销服务部负责协调政府部门贯通平台数据接口、完善公共事项联合服务细则，跟踪监督落实情况。(长期)</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4.强化转供电加价常态化监管，确保政策红利精准到位</w:t>
      </w:r>
    </w:p>
    <w:p>
      <w:pPr>
        <w:suppressAutoHyphens/>
        <w:spacing w:line="600" w:lineRule="exact"/>
        <w:ind w:firstLine="643"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eastAsia="zh-CN"/>
        </w:rPr>
        <w:t>主要任务：一是</w:t>
      </w:r>
      <w:r>
        <w:rPr>
          <w:rFonts w:hint="eastAsia" w:ascii="仿宋_GB2312" w:hAnsi="仿宋_GB2312" w:eastAsia="仿宋_GB2312" w:cs="仿宋_GB2312"/>
          <w:b w:val="0"/>
          <w:bCs w:val="0"/>
          <w:sz w:val="32"/>
          <w:szCs w:val="32"/>
          <w:highlight w:val="none"/>
          <w:lang w:eastAsia="zh-CN"/>
        </w:rPr>
        <w:t>与政府主管部门建立常态化监管机制，强化政企联动，持续更新综合商业体、产业园区、市场、居民住宅小区、写字楼等转供电主体台账，同步建立转供电主体电子台账，促进信息有效共享；畅通沟通渠道，定期向政府主管部门传递“转供电码”预警信息、违规加价线索及</w:t>
      </w:r>
      <w:r>
        <w:rPr>
          <w:rFonts w:hint="eastAsia" w:ascii="仿宋_GB2312" w:hAnsi="仿宋_GB2312" w:eastAsia="仿宋_GB2312" w:cs="仿宋_GB2312"/>
          <w:b w:val="0"/>
          <w:bCs w:val="0"/>
          <w:sz w:val="32"/>
          <w:szCs w:val="32"/>
          <w:highlight w:val="none"/>
          <w:lang w:val="en-US" w:eastAsia="zh-CN"/>
        </w:rPr>
        <w:t>95598等平台投诉信息。</w:t>
      </w:r>
      <w:r>
        <w:rPr>
          <w:rFonts w:hint="eastAsia" w:ascii="仿宋_GB2312" w:hAnsi="仿宋_GB2312" w:eastAsia="仿宋_GB2312" w:cs="仿宋_GB2312"/>
          <w:b/>
          <w:bCs/>
          <w:sz w:val="32"/>
          <w:szCs w:val="32"/>
          <w:highlight w:val="none"/>
          <w:lang w:eastAsia="zh-CN"/>
        </w:rPr>
        <w:t>二是</w:t>
      </w:r>
      <w:r>
        <w:rPr>
          <w:rFonts w:hint="eastAsia" w:ascii="仿宋_GB2312" w:hAnsi="仿宋_GB2312" w:eastAsia="仿宋_GB2312" w:cs="仿宋_GB2312"/>
          <w:b w:val="0"/>
          <w:bCs w:val="0"/>
          <w:sz w:val="32"/>
          <w:szCs w:val="32"/>
          <w:highlight w:val="none"/>
          <w:lang w:eastAsia="zh-CN"/>
        </w:rPr>
        <w:t>全面推广“转供电码”数字化监管方式，完善微信公众号、蒙电</w:t>
      </w:r>
      <w:r>
        <w:rPr>
          <w:rFonts w:hint="eastAsia" w:ascii="仿宋_GB2312" w:hAnsi="仿宋_GB2312" w:eastAsia="仿宋_GB2312" w:cs="仿宋_GB2312"/>
          <w:b w:val="0"/>
          <w:bCs w:val="0"/>
          <w:sz w:val="32"/>
          <w:szCs w:val="32"/>
          <w:highlight w:val="none"/>
          <w:lang w:val="en-US" w:eastAsia="zh-CN"/>
        </w:rPr>
        <w:t>E家等线上查询渠道，通过终端用户信息对比，合理划分风险区间，及时向用户展示，</w:t>
      </w:r>
      <w:r>
        <w:rPr>
          <w:rFonts w:hint="eastAsia" w:ascii="仿宋_GB2312" w:hAnsi="仿宋_GB2312" w:eastAsia="仿宋_GB2312" w:cs="仿宋_GB2312"/>
          <w:b w:val="0"/>
          <w:bCs w:val="0"/>
          <w:sz w:val="32"/>
          <w:szCs w:val="32"/>
          <w:highlight w:val="none"/>
          <w:lang w:eastAsia="zh-CN"/>
        </w:rPr>
        <w:t>提高监管效能。</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b w:val="0"/>
          <w:bCs w:val="0"/>
          <w:sz w:val="32"/>
          <w:szCs w:val="32"/>
          <w:highlight w:val="none"/>
          <w:lang w:val="en-US" w:eastAsia="zh-CN"/>
        </w:rPr>
        <w:t>逐步消化转供电存量，对具备改造条件的转供体电力用户，优化改造流程、主动服务，根据现有条件制定、实施改造计划，尽快实现直接供电，从源头上解决转供电问题。严格控制转供电增量，对于新报装的商业综合体、产业园区、物业、市场、写字楼、居民住宅小区，要优化供电方案，避免转供电情况发生。</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营销服务部负责协调政府</w:t>
      </w:r>
      <w:r>
        <w:rPr>
          <w:rFonts w:hint="eastAsia" w:ascii="仿宋_GB2312" w:hAnsi="仿宋_GB2312" w:eastAsia="仿宋_GB2312" w:cs="仿宋_GB2312"/>
          <w:sz w:val="32"/>
          <w:szCs w:val="32"/>
          <w:lang w:eastAsia="zh-CN"/>
        </w:rPr>
        <w:t>主管</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建立常态化监管机制，跟踪落实相关举措</w:t>
      </w:r>
      <w:r>
        <w:rPr>
          <w:rFonts w:hint="eastAsia" w:ascii="仿宋_GB2312" w:hAnsi="仿宋_GB2312" w:eastAsia="仿宋_GB2312" w:cs="仿宋_GB2312"/>
          <w:sz w:val="32"/>
          <w:szCs w:val="32"/>
        </w:rPr>
        <w:t>。(长期)</w:t>
      </w:r>
    </w:p>
    <w:p>
      <w:pPr>
        <w:pStyle w:val="2"/>
        <w:rPr>
          <w:rFonts w:hint="eastAsia"/>
          <w:lang w:eastAsia="zh-CN"/>
        </w:rPr>
      </w:pPr>
    </w:p>
    <w:p>
      <w:pPr>
        <w:pStyle w:val="2"/>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（三）深化营配数据融合，管理更加协同高效</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1.打造矩阵式服务团队，畅通问题堵点</w:t>
      </w:r>
    </w:p>
    <w:p>
      <w:pPr>
        <w:suppressAutoHyphens/>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充分发挥客户服务委员协调、指挥和管控作用，组建“马上办”微信群，全面打造矩阵式服务团队，有效解决各类跨专业协同等堵点、难点问题，确保了客户需求响应敏锐敏捷、高质高效。</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进一步深化双经理制度，优化服务结构，畅通沟通渠道，采用数字化、信息化手段，与各专业建立更紧密的沟通关系，实现实时了解电网资源、工程建设进度、审批进度等信息，增强联合服务团队综合实力及协同效率。</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(1)营销服务部负责指导、监督方案内容落实情况。(长期)</w:t>
      </w:r>
    </w:p>
    <w:p>
      <w:pPr>
        <w:pStyle w:val="5"/>
        <w:keepNext w:val="0"/>
        <w:keepLines w:val="0"/>
        <w:spacing w:before="0" w:after="0" w:line="600" w:lineRule="exact"/>
        <w:ind w:firstLine="643" w:firstLineChars="200"/>
        <w:rPr>
          <w:rFonts w:ascii="仿宋_GB2312" w:hAnsi="仿宋_GB2312" w:eastAsia="仿宋_GB2312" w:cs="仿宋_GB2312"/>
          <w:bCs/>
          <w:kern w:val="0"/>
          <w:szCs w:val="32"/>
        </w:rPr>
      </w:pPr>
      <w:r>
        <w:rPr>
          <w:rFonts w:hint="eastAsia" w:ascii="仿宋_GB2312" w:hAnsi="仿宋_GB2312" w:eastAsia="仿宋_GB2312" w:cs="仿宋_GB2312"/>
          <w:bCs/>
          <w:kern w:val="0"/>
          <w:szCs w:val="32"/>
        </w:rPr>
        <w:t>2、</w:t>
      </w:r>
      <w:bookmarkEnd w:id="17"/>
      <w:bookmarkEnd w:id="18"/>
      <w:bookmarkEnd w:id="19"/>
      <w:bookmarkEnd w:id="20"/>
      <w:r>
        <w:rPr>
          <w:rFonts w:hint="eastAsia" w:ascii="仿宋_GB2312" w:hAnsi="仿宋_GB2312" w:eastAsia="仿宋_GB2312" w:cs="仿宋_GB2312"/>
          <w:bCs/>
          <w:kern w:val="0"/>
          <w:szCs w:val="32"/>
        </w:rPr>
        <w:t>持续优化云服务体系，缩短现场时间</w:t>
      </w:r>
    </w:p>
    <w:p>
      <w:pPr>
        <w:tabs>
          <w:tab w:val="left" w:pos="993"/>
        </w:tabs>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sz w:val="32"/>
          <w:szCs w:val="32"/>
          <w:highlight w:val="none"/>
        </w:rPr>
        <w:t>主要任务</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一是</w:t>
      </w:r>
      <w:bookmarkStart w:id="21" w:name="_Hlk144884771"/>
      <w:r>
        <w:rPr>
          <w:rFonts w:hint="eastAsia" w:ascii="仿宋_GB2312" w:hAnsi="仿宋_GB2312" w:eastAsia="仿宋_GB2312" w:cs="仿宋_GB2312"/>
          <w:kern w:val="0"/>
          <w:sz w:val="32"/>
          <w:szCs w:val="32"/>
          <w:highlight w:val="none"/>
        </w:rPr>
        <w:t>优化供电方案答复流程</w:t>
      </w:r>
      <w:bookmarkEnd w:id="21"/>
      <w:r>
        <w:rPr>
          <w:rFonts w:hint="eastAsia" w:ascii="仿宋_GB2312" w:hAnsi="仿宋_GB2312" w:eastAsia="仿宋_GB2312" w:cs="仿宋_GB2312"/>
          <w:kern w:val="0"/>
          <w:sz w:val="32"/>
          <w:szCs w:val="32"/>
          <w:highlight w:val="none"/>
        </w:rPr>
        <w:t>，完善系统功能支撑，通过“远程视频+配电网地理信息系统”</w:t>
      </w:r>
      <w:bookmarkStart w:id="22" w:name="_Hlk144883745"/>
      <w:r>
        <w:rPr>
          <w:rFonts w:hint="eastAsia" w:ascii="仿宋_GB2312" w:hAnsi="仿宋_GB2312" w:eastAsia="仿宋_GB2312" w:cs="仿宋_GB2312"/>
          <w:kern w:val="0"/>
          <w:sz w:val="32"/>
          <w:szCs w:val="32"/>
          <w:highlight w:val="none"/>
        </w:rPr>
        <w:t>实现报装容量1250千伏安及以下的供电方案“一键生成、在线比选、当天答复</w:t>
      </w:r>
      <w:r>
        <w:rPr>
          <w:rFonts w:hint="eastAsia" w:ascii="仿宋_GB2312" w:hAnsi="仿宋_GB2312" w:eastAsia="仿宋_GB2312" w:cs="仿宋_GB2312"/>
          <w:kern w:val="0"/>
          <w:sz w:val="32"/>
          <w:szCs w:val="32"/>
        </w:rPr>
        <w:t>”</w:t>
      </w:r>
      <w:bookmarkEnd w:id="22"/>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lang w:eastAsia="zh-CN"/>
        </w:rPr>
        <w:t>通过远程视频结合验收规范卡实现</w:t>
      </w:r>
      <w:r>
        <w:rPr>
          <w:rFonts w:hint="eastAsia" w:ascii="仿宋_GB2312" w:hAnsi="仿宋_GB2312" w:eastAsia="仿宋_GB2312" w:cs="仿宋_GB2312"/>
          <w:kern w:val="0"/>
          <w:sz w:val="32"/>
          <w:szCs w:val="32"/>
        </w:rPr>
        <w:t>竣工验收“云检验”，优化验收流程，客户可随时</w:t>
      </w:r>
      <w:r>
        <w:rPr>
          <w:rFonts w:hint="eastAsia" w:ascii="仿宋_GB2312" w:hAnsi="仿宋_GB2312" w:eastAsia="仿宋_GB2312" w:cs="仿宋_GB2312"/>
          <w:kern w:val="0"/>
          <w:sz w:val="32"/>
          <w:szCs w:val="32"/>
          <w:lang w:eastAsia="zh-CN"/>
        </w:rPr>
        <w:t>回</w:t>
      </w:r>
      <w:r>
        <w:rPr>
          <w:rFonts w:hint="eastAsia" w:ascii="仿宋_GB2312" w:hAnsi="仿宋_GB2312" w:eastAsia="仿宋_GB2312" w:cs="仿宋_GB2312"/>
          <w:kern w:val="0"/>
          <w:sz w:val="32"/>
          <w:szCs w:val="32"/>
        </w:rPr>
        <w:t>传已竣工电力工程视频照片，项目经理牵头组织有关专业人员“云验收”，线上指导客户消缺，工程全部竣工后即可同步实施接电，有效提升现场一次验收通过率。</w:t>
      </w: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供电方案在线制定、线上答复，供电合同线上签约，客户需求全流程“在线流转”，减少现场往返和方案审批等待时间，用智能化手段提升服务效率，同时构建多电力业务数据业扩线上全过程监控，对各环节，各部门，各专业，各岗位全覆盖，有效减少差错，提高工作质效。</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营销服务部负责细化云服务体系建设内容、协调平台功能完善。（2023年6月）</w:t>
      </w:r>
      <w:bookmarkStart w:id="23" w:name="_Toc25444_WPSOffice_Level2"/>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3.持续优化配套工程管理，保障工程同步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b/>
          <w:bCs/>
          <w:sz w:val="32"/>
          <w:szCs w:val="32"/>
        </w:rPr>
        <w:t>主要任务：一是</w:t>
      </w:r>
      <w:bookmarkStart w:id="24" w:name="_Hlk145641023"/>
      <w:r>
        <w:rPr>
          <w:rFonts w:hint="eastAsia" w:ascii="仿宋_GB2312" w:hAnsi="仿宋_GB2312" w:eastAsia="仿宋_GB2312" w:cs="仿宋_GB2312"/>
          <w:kern w:val="0"/>
          <w:sz w:val="32"/>
          <w:szCs w:val="32"/>
        </w:rPr>
        <w:t>加强物资管理，优化采购工作机制，采购服务主动向前，在传统供应模式的基础上，提升物资供应质控效能，实施动态储备供应方案，</w:t>
      </w:r>
      <w:bookmarkEnd w:id="24"/>
      <w:r>
        <w:rPr>
          <w:rFonts w:hint="eastAsia" w:ascii="仿宋_GB2312" w:hAnsi="仿宋_GB2312" w:eastAsia="仿宋_GB2312" w:cs="仿宋_GB2312"/>
          <w:kern w:val="0"/>
          <w:sz w:val="32"/>
          <w:szCs w:val="32"/>
        </w:rPr>
        <w:t>由需求部门按照往年共性量预测采购需求，物资部门提前开展业扩物资定额储备补库和到货物资批量检测工作，</w:t>
      </w:r>
      <w:bookmarkStart w:id="25" w:name="_Hlk145641060"/>
      <w:r>
        <w:rPr>
          <w:rFonts w:hint="eastAsia" w:ascii="仿宋_GB2312" w:hAnsi="仿宋_GB2312" w:eastAsia="仿宋_GB2312" w:cs="仿宋_GB2312"/>
          <w:kern w:val="0"/>
          <w:sz w:val="32"/>
          <w:szCs w:val="32"/>
        </w:rPr>
        <w:t>缩短供应时限</w:t>
      </w:r>
      <w:bookmarkEnd w:id="25"/>
      <w:r>
        <w:rPr>
          <w:rFonts w:hint="eastAsia" w:ascii="仿宋_GB2312" w:hAnsi="仿宋_GB2312" w:eastAsia="仿宋_GB2312" w:cs="仿宋_GB2312"/>
          <w:kern w:val="0"/>
          <w:sz w:val="32"/>
          <w:szCs w:val="32"/>
        </w:rPr>
        <w:t>。全力确保物资调拨配送安全有序运行，</w:t>
      </w:r>
      <w:bookmarkStart w:id="26" w:name="_Hlk145641265"/>
      <w:r>
        <w:rPr>
          <w:rFonts w:hint="eastAsia" w:ascii="仿宋_GB2312" w:hAnsi="仿宋_GB2312" w:eastAsia="仿宋_GB2312" w:cs="仿宋_GB2312"/>
          <w:kern w:val="0"/>
          <w:sz w:val="32"/>
          <w:szCs w:val="32"/>
        </w:rPr>
        <w:t>在工程需用实物管理过程中，遵循“合理储备，加快周转、永续盘存、保质可用”的原则，按照前端环节流转的物资需用信息做好实物库存管理工作，全面加强实物库存统一管理，库存实物定期整理，为工程需用物资领用夯实基础。</w:t>
      </w:r>
      <w:bookmarkEnd w:id="26"/>
      <w:r>
        <w:rPr>
          <w:rFonts w:hint="eastAsia" w:ascii="仿宋_GB2312" w:hAnsi="仿宋_GB2312" w:eastAsia="仿宋_GB2312" w:cs="仿宋_GB2312"/>
          <w:kern w:val="0"/>
          <w:sz w:val="32"/>
          <w:szCs w:val="32"/>
        </w:rPr>
        <w:t>二是建立电网应急资金使用流程，充分发挥应急资金保障作用，最大限度满足紧急项目用电需求；配合市政府开展重大电网建设项目专项调度，将自治区重大项目电网配套工程推进情况列入重点调度范围。公司层面成立电网建设工作专班，实行“项目责任制”和“工程主人制”，全力保障项目前期工作顺利开展；优化工程建设周期，推动各旗区成立电网建设项目推进专班，建立旗区主要领导参与的信息沟通机制，重点就林、草、土地手续办理、青赔清障等工作进行深入交流，与能源主管部门、项目业主建立手续移交机制，以接入方案评审意见为工程前期起点倒排全业务链里程碑。创新探索开展可研初设一体化、EPC总承包、一次二次设备集成采购，计划协调政府实施“政府帮办、垫资青赔、拿地即开工”等模式，全力保障电力工程与客户工程同步建设、同步投产。修编完善业扩配套项目实施细则，推广自主实施政策，结合周转金使用机制及寄售储备模式，及时对物资“查漏补缺”，确保业扩配套项目短时限、高质量完成。三是推动业扩配套项目数字化转型赋能，全力应用营销系统业扩配套项目模块，实现业扩流程从线下离散式的传统模式，向工单驱动的线上聚合式管理模式转变，本质避免“体外循环”发生；</w:t>
      </w:r>
      <w:bookmarkStart w:id="27" w:name="_Hlk145641171"/>
      <w:r>
        <w:rPr>
          <w:rFonts w:hint="eastAsia" w:ascii="仿宋_GB2312" w:hAnsi="仿宋_GB2312" w:eastAsia="仿宋_GB2312" w:cs="仿宋_GB2312"/>
          <w:kern w:val="0"/>
          <w:sz w:val="32"/>
          <w:szCs w:val="32"/>
        </w:rPr>
        <w:t>优化储备物资采购模式，进一步精简业扩配套项目设备材料选型，扩大实用型设备材料储备规模，严格落实标准工艺，规范甲、乙供材料范围，实现物资储备从少量高频向大批集中的模式转变，</w:t>
      </w:r>
      <w:bookmarkStart w:id="28" w:name="_Hlk145640922"/>
      <w:r>
        <w:rPr>
          <w:rFonts w:hint="eastAsia" w:ascii="仿宋_GB2312" w:hAnsi="仿宋_GB2312" w:eastAsia="仿宋_GB2312" w:cs="仿宋_GB2312"/>
          <w:kern w:val="0"/>
          <w:sz w:val="32"/>
          <w:szCs w:val="32"/>
        </w:rPr>
        <w:t>加强物资供应保障能力</w:t>
      </w:r>
      <w:bookmarkEnd w:id="27"/>
      <w:bookmarkEnd w:id="28"/>
      <w:r>
        <w:rPr>
          <w:rFonts w:hint="eastAsia" w:ascii="仿宋_GB2312" w:hAnsi="仿宋_GB2312" w:eastAsia="仿宋_GB2312" w:cs="仿宋_GB2312"/>
          <w:kern w:val="0"/>
          <w:sz w:val="32"/>
          <w:szCs w:val="32"/>
        </w:rPr>
        <w:t>；围绕周结月清工作原则，进一步明确工程结算时间节点，大力推广线上核量验收模式，优化竣工结算流程，加快审计与财务决算进度，提升业扩配套项目投资效率与效益。四是加强宣传工作，坚持正确舆论导向，对外主动发声，做好政策解读宣传</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加强施工招标控制价及工程量清单编制与审核工作，在统一施工图纸、统一设备材料选型、统一技术规范、统一概算编制、统一清单单价的基础上，规范初步设计各环节工作，提高造价工作效率和质量，为业扩配套项目建设提供有力支撑；加强工程造价结算管理管控，完善考核与管理机制，加强项目单位工程造价结算审核把关，加强管理人员的培训教</w:t>
      </w:r>
      <w:r>
        <w:rPr>
          <w:rFonts w:hint="eastAsia" w:ascii="仿宋_GB2312" w:hAnsi="仿宋_GB2312" w:eastAsia="仿宋_GB2312" w:cs="仿宋_GB2312"/>
          <w:kern w:val="0"/>
          <w:sz w:val="32"/>
          <w:szCs w:val="32"/>
        </w:rPr>
        <w:t>育</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b/>
          <w:bCs/>
          <w:sz w:val="32"/>
          <w:szCs w:val="32"/>
          <w:highlight w:val="none"/>
          <w:lang w:eastAsia="zh-CN"/>
        </w:rPr>
        <w:t>六是</w:t>
      </w:r>
      <w:r>
        <w:rPr>
          <w:rFonts w:hint="eastAsia" w:ascii="仿宋_GB2312" w:hAnsi="仿宋_GB2312" w:eastAsia="仿宋_GB2312" w:cs="仿宋_GB2312"/>
          <w:kern w:val="0"/>
          <w:sz w:val="32"/>
          <w:szCs w:val="32"/>
          <w:highlight w:val="none"/>
        </w:rPr>
        <w:t>对满足典型项目要求的业扩配套电网工程应用典型设计免去设计环节，依照典型设计规范统一物料领用标准，在制定供电方案后，直接开展领料施工，持续压缩业扩配套项目实施周期。</w:t>
      </w:r>
      <w:r>
        <w:rPr>
          <w:rFonts w:hint="eastAsia" w:ascii="仿宋_GB2312" w:hAnsi="仿宋_GB2312" w:eastAsia="仿宋_GB2312" w:cs="仿宋_GB2312"/>
          <w:b/>
          <w:bCs/>
          <w:kern w:val="0"/>
          <w:sz w:val="32"/>
          <w:szCs w:val="32"/>
          <w:lang w:eastAsia="zh-CN"/>
        </w:rPr>
        <w:t>七</w:t>
      </w:r>
      <w:r>
        <w:rPr>
          <w:rFonts w:hint="eastAsia" w:ascii="仿宋_GB2312" w:hAnsi="仿宋_GB2312" w:eastAsia="仿宋_GB2312" w:cs="仿宋_GB2312"/>
          <w:b/>
          <w:bCs/>
          <w:kern w:val="0"/>
          <w:sz w:val="32"/>
          <w:szCs w:val="32"/>
        </w:rPr>
        <w:t>是</w:t>
      </w:r>
      <w:r>
        <w:rPr>
          <w:rFonts w:hint="eastAsia" w:ascii="仿宋_GB2312" w:hAnsi="仿宋_GB2312" w:eastAsia="仿宋_GB2312" w:cs="仿宋_GB2312"/>
          <w:kern w:val="0"/>
          <w:sz w:val="32"/>
          <w:szCs w:val="32"/>
        </w:rPr>
        <w:t>以“契约服务”方式落实项目、属地政府（或管廊等土建建设方）及公司三方责任，加快开展配套电网工程建设。</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职责分工：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（1）计划发展部负责政府重大项目的协调调度工作，规范电网建设应急资金使用流程。（长期）</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（2）生产技术部负责重大项目工程管理、重要事项协调推进工作。（长期）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（3）物资管理部负责完善物资管理模式，优化物资采购、储备、调拨机制。（2023年6月）</w:t>
      </w:r>
    </w:p>
    <w:p>
      <w:pPr>
        <w:pStyle w:val="2"/>
        <w:keepNext w:val="0"/>
        <w:keepLines w:val="0"/>
        <w:pageBreakBefore w:val="0"/>
        <w:widowControl w:val="0"/>
        <w:kinsoku/>
        <w:wordWrap/>
        <w:overflowPunct/>
        <w:topLinePunct w:val="0"/>
        <w:autoSpaceDE/>
        <w:autoSpaceDN/>
        <w:bidi w:val="0"/>
        <w:adjustRightInd/>
        <w:snapToGrid/>
        <w:spacing w:line="360" w:lineRule="auto"/>
        <w:ind w:firstLine="640"/>
        <w:textAlignment w:val="auto"/>
      </w:pPr>
      <w:r>
        <w:rPr>
          <w:rFonts w:hint="eastAsia" w:ascii="仿宋_GB2312" w:hAnsi="仿宋_GB2312" w:eastAsia="仿宋_GB2312" w:cs="仿宋_GB2312"/>
          <w:sz w:val="32"/>
          <w:szCs w:val="32"/>
        </w:rPr>
        <w:t>（4）工程建设部负责创新工程管理模式，加快配套电网工程建设。（长期）</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321" w:firstLineChars="1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（四）深化电力数据挖掘，成本更加节约省心</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1.严格落实高低压投资界面，压降办电成本</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ascii="仿宋_GB2312" w:hAnsi="仿宋_GB2312" w:eastAsia="仿宋_GB2312" w:cs="仿宋_GB2312"/>
          <w:sz w:val="32"/>
          <w:szCs w:val="32"/>
        </w:rPr>
        <w:t>严格落实“三零”、“三省”服务，确保投资到位，压降客户办电成本</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加强技术指导和咨询服务，引导客户优先采用典型设计、标准设备、节能设备，提高设备的通用性、互换性，为客户提供典型造价咨询服务，帮助客户压减工程造价，降低后续运维成本。</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sz w:val="32"/>
          <w:szCs w:val="32"/>
        </w:rPr>
      </w:pPr>
      <w:r>
        <w:rPr>
          <w:rFonts w:ascii="仿宋_GB2312" w:hAnsi="仿宋_GB2312" w:eastAsia="仿宋_GB2312" w:cs="仿宋_GB2312"/>
          <w:b/>
          <w:bCs/>
          <w:sz w:val="32"/>
          <w:szCs w:val="32"/>
        </w:rPr>
        <w:t>职责分工</w:t>
      </w:r>
      <w:r>
        <w:rPr>
          <w:rFonts w:ascii="仿宋_GB2312" w:hAnsi="仿宋_GB2312"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w:t>
      </w:r>
      <w:r>
        <w:rPr>
          <w:rFonts w:ascii="仿宋_GB2312" w:hAnsi="仿宋_GB2312" w:eastAsia="仿宋_GB2312" w:cs="仿宋_GB2312"/>
          <w:sz w:val="32"/>
          <w:szCs w:val="32"/>
        </w:rPr>
        <w:t>部负责</w:t>
      </w:r>
      <w:r>
        <w:rPr>
          <w:rFonts w:hint="eastAsia" w:ascii="仿宋_GB2312" w:hAnsi="仿宋_GB2312" w:eastAsia="仿宋_GB2312" w:cs="仿宋_GB2312"/>
          <w:sz w:val="32"/>
          <w:szCs w:val="32"/>
        </w:rPr>
        <w:t>组织相关部门完善典型设计方案，监督“三零”、“三省”投资落实情况，建立面向报装客户的常态化的技术指导和咨询服务机制。</w:t>
      </w:r>
      <w:r>
        <w:rPr>
          <w:rFonts w:ascii="仿宋_GB2312" w:hAnsi="仿宋_GB2312" w:eastAsia="仿宋_GB2312" w:cs="仿宋_GB2312"/>
          <w:sz w:val="32"/>
          <w:szCs w:val="32"/>
        </w:rPr>
        <w:t>(长期)</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2.持续推进成本分担机制，减少一次投入</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ascii="仿宋_GB2312" w:hAnsi="仿宋_GB2312" w:eastAsia="仿宋_GB2312" w:cs="仿宋_GB2312"/>
          <w:sz w:val="32"/>
          <w:szCs w:val="32"/>
        </w:rPr>
        <w:t>完善并落实政企共担机制，</w:t>
      </w:r>
      <w:r>
        <w:rPr>
          <w:rFonts w:hint="eastAsia" w:ascii="仿宋_GB2312" w:hAnsi="仿宋_GB2312" w:eastAsia="仿宋_GB2312" w:cs="仿宋_GB2312"/>
          <w:sz w:val="32"/>
          <w:szCs w:val="32"/>
        </w:rPr>
        <w:t>明确</w:t>
      </w:r>
      <w:r>
        <w:rPr>
          <w:rFonts w:ascii="仿宋_GB2312" w:hAnsi="仿宋_GB2312" w:eastAsia="仿宋_GB2312" w:cs="仿宋_GB2312"/>
          <w:sz w:val="32"/>
          <w:szCs w:val="32"/>
        </w:rPr>
        <w:t>政府、供电企业、客户三方在延伸电网投资中的权责界面</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促请地方政府统筹市政综合管廊建设，合理布局、提前预留电力管廊资源，供电力客户租用或购买。</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结合地区市政管网重建，统筹区域用电需求，引导客户合建电缆管廊、共享通道资源，减少客户一次性投入。</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全面推广临电租赁服务。对于临时用电客户，优先向客户提供“用电租赁”服务，积极引导有资质的企业提供临时用电租赁服务，有效降低临时用电客户接电成本。</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ascii="仿宋_GB2312" w:hAnsi="仿宋_GB2312" w:eastAsia="仿宋_GB2312" w:cs="仿宋_GB2312"/>
          <w:b/>
          <w:bCs/>
          <w:sz w:val="32"/>
          <w:szCs w:val="32"/>
        </w:rPr>
        <w:t>职责分工：</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营销服务部负责推动完善政企分担机制、指导落实变压器租赁工作。（2023年6月）</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计划发展部负责</w:t>
      </w:r>
      <w:r>
        <w:rPr>
          <w:rFonts w:hint="eastAsia" w:ascii="仿宋_GB2312" w:hAnsi="仿宋_GB2312" w:eastAsia="仿宋_GB2312" w:cs="仿宋_GB2312"/>
          <w:sz w:val="32"/>
          <w:szCs w:val="32"/>
        </w:rPr>
        <w:t>建立管廊共建与管廊资源共享机制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2023年6月</w:t>
      </w:r>
      <w:r>
        <w:rPr>
          <w:rFonts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工程建设部负责制定管廊共建的具体的工程实施细则。（2023年7月）</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3.持续探索电费最优分析，优化用电成本</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ascii="仿宋_GB2312" w:hAnsi="仿宋_GB2312" w:eastAsia="仿宋_GB2312" w:cs="仿宋_GB2312"/>
          <w:sz w:val="32"/>
          <w:szCs w:val="32"/>
        </w:rPr>
        <w:t>代理购电政策宣贯，线上线下多渠道宣贯代理购电价格，开展现场宣传、上门宣传等特色宣传。</w:t>
      </w:r>
      <w:r>
        <w:rPr>
          <w:rFonts w:hint="eastAsia" w:ascii="仿宋_GB2312" w:hAnsi="仿宋_GB2312" w:eastAsia="仿宋_GB2312" w:cs="仿宋_GB2312"/>
          <w:b/>
          <w:bCs/>
          <w:sz w:val="32"/>
          <w:szCs w:val="32"/>
        </w:rPr>
        <w:t>二是</w:t>
      </w:r>
      <w:r>
        <w:rPr>
          <w:rFonts w:ascii="仿宋_GB2312" w:hAnsi="仿宋_GB2312" w:eastAsia="仿宋_GB2312" w:cs="仿宋_GB2312"/>
          <w:sz w:val="32"/>
          <w:szCs w:val="32"/>
        </w:rPr>
        <w:t>主动服务，提醒告知电费账户余额不足，避免客户欠费停电。广泛宣传线上便捷缴费途径，实现“足不出户”线上缴费，体验指尖上的便捷缴费服务。</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提供</w:t>
      </w:r>
      <w:r>
        <w:rPr>
          <w:rFonts w:ascii="仿宋_GB2312" w:hAnsi="仿宋_GB2312" w:eastAsia="仿宋_GB2312" w:cs="仿宋_GB2312"/>
          <w:sz w:val="32"/>
          <w:szCs w:val="32"/>
        </w:rPr>
        <w:t>基本电费最优计费方式分析。</w:t>
      </w:r>
      <w:r>
        <w:rPr>
          <w:rFonts w:hint="eastAsia" w:ascii="仿宋_GB2312" w:hAnsi="仿宋_GB2312" w:eastAsia="仿宋_GB2312" w:cs="仿宋_GB2312"/>
          <w:sz w:val="32"/>
          <w:szCs w:val="32"/>
        </w:rPr>
        <w:t>通过</w:t>
      </w:r>
      <w:r>
        <w:rPr>
          <w:rFonts w:ascii="仿宋_GB2312" w:hAnsi="仿宋_GB2312" w:eastAsia="仿宋_GB2312" w:cs="仿宋_GB2312"/>
          <w:sz w:val="32"/>
          <w:szCs w:val="32"/>
        </w:rPr>
        <w:t>制作动漫广泛宣传各媒介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上门服务客户，</w:t>
      </w:r>
      <w:r>
        <w:rPr>
          <w:rFonts w:hint="eastAsia" w:ascii="仿宋_GB2312" w:hAnsi="仿宋_GB2312" w:eastAsia="仿宋_GB2312" w:cs="仿宋_GB2312"/>
          <w:sz w:val="32"/>
          <w:szCs w:val="32"/>
        </w:rPr>
        <w:t>为各类用户</w:t>
      </w:r>
      <w:r>
        <w:rPr>
          <w:rFonts w:ascii="仿宋_GB2312" w:hAnsi="仿宋_GB2312" w:eastAsia="仿宋_GB2312" w:cs="仿宋_GB2312"/>
          <w:sz w:val="32"/>
          <w:szCs w:val="32"/>
        </w:rPr>
        <w:t>定制基本电费最优方案，切实优化用电成本。</w:t>
      </w:r>
      <w:r>
        <w:rPr>
          <w:rFonts w:hint="eastAsia" w:ascii="仿宋_GB2312" w:hAnsi="仿宋_GB2312" w:eastAsia="仿宋_GB2312" w:cs="仿宋_GB2312"/>
          <w:b/>
          <w:bCs/>
          <w:sz w:val="32"/>
          <w:szCs w:val="32"/>
        </w:rPr>
        <w:t>四是</w:t>
      </w:r>
      <w:r>
        <w:rPr>
          <w:rFonts w:ascii="仿宋_GB2312" w:hAnsi="仿宋_GB2312" w:eastAsia="仿宋_GB2312" w:cs="仿宋_GB2312"/>
          <w:sz w:val="32"/>
          <w:szCs w:val="32"/>
        </w:rPr>
        <w:t>为电力重要客户提供免费用电安全“体检”服务，对普通用电客户根据需求开展用电安全服务与指导，定期为客户电气设备提供安全操作培训。</w:t>
      </w:r>
    </w:p>
    <w:p>
      <w:pPr>
        <w:pStyle w:val="2"/>
        <w:keepNext w:val="0"/>
        <w:keepLines w:val="0"/>
        <w:pageBreakBefore w:val="0"/>
        <w:widowControl w:val="0"/>
        <w:kinsoku/>
        <w:wordWrap/>
        <w:overflowPunct/>
        <w:topLinePunct w:val="0"/>
        <w:autoSpaceDE/>
        <w:autoSpaceDN/>
        <w:bidi w:val="0"/>
        <w:adjustRightInd/>
        <w:snapToGrid/>
        <w:spacing w:line="360" w:lineRule="auto"/>
        <w:ind w:firstLine="643"/>
        <w:textAlignment w:val="auto"/>
        <w:rPr>
          <w:rFonts w:ascii="仿宋_GB2312" w:hAnsi="仿宋_GB2312" w:eastAsia="仿宋_GB2312" w:cs="仿宋_GB2312"/>
          <w:b/>
          <w:bCs/>
          <w:sz w:val="32"/>
          <w:szCs w:val="32"/>
        </w:rPr>
      </w:pPr>
      <w:r>
        <w:rPr>
          <w:rFonts w:ascii="仿宋_GB2312" w:hAnsi="仿宋_GB2312" w:eastAsia="仿宋_GB2312" w:cs="仿宋_GB2312"/>
          <w:b/>
          <w:bCs/>
          <w:sz w:val="32"/>
          <w:szCs w:val="32"/>
        </w:rPr>
        <w:t>职责分工：</w:t>
      </w:r>
    </w:p>
    <w:p>
      <w:pPr>
        <w:pStyle w:val="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营销服务</w:t>
      </w:r>
      <w:r>
        <w:rPr>
          <w:rFonts w:ascii="仿宋_GB2312" w:hAnsi="仿宋_GB2312" w:eastAsia="仿宋_GB2312" w:cs="仿宋_GB2312"/>
          <w:sz w:val="32"/>
          <w:szCs w:val="32"/>
        </w:rPr>
        <w:t>部负责</w:t>
      </w:r>
      <w:r>
        <w:rPr>
          <w:rFonts w:hint="eastAsia" w:ascii="仿宋_GB2312" w:hAnsi="仿宋_GB2312" w:eastAsia="仿宋_GB2312" w:cs="仿宋_GB2312"/>
          <w:sz w:val="32"/>
          <w:szCs w:val="32"/>
        </w:rPr>
        <w:t>指导、监督方案内容的落实</w:t>
      </w:r>
      <w:r>
        <w:rPr>
          <w:rFonts w:ascii="仿宋_GB2312" w:hAnsi="仿宋_GB2312" w:eastAsia="仿宋_GB2312" w:cs="仿宋_GB2312"/>
          <w:sz w:val="32"/>
          <w:szCs w:val="32"/>
        </w:rPr>
        <w:t>。(长期)</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(五)深化现代服务体系，用电更加满意安心</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1.打造现代新型服务体系，提升服务品质</w:t>
      </w:r>
    </w:p>
    <w:p>
      <w:pPr>
        <w:tabs>
          <w:tab w:val="left" w:pos="993"/>
        </w:tabs>
        <w:suppressAutoHyphens/>
        <w:spacing w:line="60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全面构建现代供电服务体系，围绕客户需求传递、供电服务协同、供电服务评价，梳理重塑服务流程，实现客户服务全生命周期闭环管理。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完善客户经理服务体系，强化主动服务和营销意识，将基础业务实现由“业务导向”向“客户导向”的经营转变，引入数字化营销手段，将全业务进行服务产品化转型，建立客户分层分类标签，开展客户画像，针对多类型客户、差异化需求，提供定制化服务，增加业务场景下标准化服务典型设计，实现对外服务产品精细化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重点经济园区设立园区电力综合服务中心，提供急抢修复电、用电咨询、电费管理、能效服务等业务，以打造智慧绿色低碳园区为目标，聚焦园区服务需求和发展要求，从人员、技术、产品等多方面为园区提供电力支</w:t>
      </w:r>
      <w:r>
        <w:rPr>
          <w:rFonts w:hint="eastAsia" w:ascii="仿宋_GB2312" w:hAnsi="仿宋_GB2312" w:eastAsia="仿宋_GB2312" w:cs="仿宋_GB2312"/>
          <w:sz w:val="32"/>
          <w:szCs w:val="32"/>
          <w:highlight w:val="none"/>
        </w:rPr>
        <w:t>撑。</w:t>
      </w:r>
      <w:r>
        <w:rPr>
          <w:rFonts w:hint="eastAsia" w:ascii="仿宋_GB2312" w:hAnsi="仿宋_GB2312" w:eastAsia="仿宋_GB2312" w:cs="仿宋_GB2312"/>
          <w:b/>
          <w:bCs/>
          <w:sz w:val="32"/>
          <w:szCs w:val="32"/>
          <w:highlight w:val="none"/>
          <w:lang w:eastAsia="zh-CN"/>
        </w:rPr>
        <w:t>四是</w:t>
      </w:r>
      <w:r>
        <w:rPr>
          <w:rFonts w:hint="eastAsia" w:ascii="仿宋_GB2312" w:hAnsi="仿宋_GB2312" w:eastAsia="仿宋_GB2312" w:cs="仿宋_GB2312"/>
          <w:sz w:val="32"/>
          <w:szCs w:val="32"/>
          <w:highlight w:val="none"/>
          <w:lang w:val="en-US" w:eastAsia="zh-CN"/>
        </w:rPr>
        <w:t>在各旗县分公司开展电力营商环境综合改革创新示范区创建工作，示范区要围绕体制机制改革、建设路径创新、先进经验推广、重点问题攻坚等方面加大改革力度,推动率先突破，对提</w:t>
      </w:r>
      <w:r>
        <w:rPr>
          <w:rFonts w:hint="eastAsia" w:ascii="仿宋_GB2312" w:hAnsi="仿宋_GB2312" w:eastAsia="仿宋_GB2312" w:cs="仿宋_GB2312"/>
          <w:sz w:val="32"/>
          <w:szCs w:val="32"/>
          <w:lang w:val="en-US" w:eastAsia="zh-CN"/>
        </w:rPr>
        <w:t>升全市电力营商环境建设水平具有示范意义和推广价值。</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(1)营销服务部负责现代新型服务体系的设计、完善工作。(2023年7月)</w:t>
      </w:r>
    </w:p>
    <w:p>
      <w:pPr>
        <w:suppressAutoHyphens/>
        <w:spacing w:line="60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w:t>
      </w:r>
      <w:r>
        <w:rPr>
          <w:rFonts w:hint="eastAsia" w:ascii="仿宋_GB2312" w:hAnsi="仿宋_GB2312" w:eastAsia="仿宋_GB2312" w:cs="仿宋_GB2312"/>
          <w:b/>
          <w:bCs/>
          <w:sz w:val="32"/>
          <w:szCs w:val="32"/>
          <w:highlight w:val="none"/>
          <w:lang w:val="en-US" w:eastAsia="zh-CN"/>
        </w:rPr>
        <w:t>聚焦</w:t>
      </w:r>
      <w:r>
        <w:rPr>
          <w:rFonts w:hint="eastAsia" w:ascii="仿宋_GB2312" w:hAnsi="仿宋_GB2312" w:eastAsia="仿宋_GB2312" w:cs="仿宋_GB2312"/>
          <w:b/>
          <w:bCs/>
          <w:sz w:val="32"/>
          <w:szCs w:val="32"/>
          <w:highlight w:val="none"/>
        </w:rPr>
        <w:t>客户经理网格化体系，提升服务效率</w:t>
      </w:r>
    </w:p>
    <w:p>
      <w:pPr>
        <w:suppressAutoHyphens/>
        <w:spacing w:line="600" w:lineRule="exact"/>
        <w:ind w:firstLine="643" w:firstLineChars="200"/>
        <w:rPr>
          <w:rFonts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highlight w:val="none"/>
        </w:rPr>
        <w:t>主要任务</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lang w:val="en-US" w:eastAsia="zh-CN"/>
        </w:rPr>
        <w:t>将“电力驿站”作为</w:t>
      </w:r>
      <w:r>
        <w:rPr>
          <w:rFonts w:hint="eastAsia" w:ascii="仿宋_GB2312" w:hAnsi="仿宋_GB2312" w:eastAsia="仿宋_GB2312" w:cs="仿宋_GB2312"/>
          <w:sz w:val="32"/>
          <w:szCs w:val="32"/>
          <w:highlight w:val="none"/>
        </w:rPr>
        <w:t>现代供电服务和新型便民服务于一体的“新时代文明实践点</w:t>
      </w:r>
      <w:r>
        <w:rPr>
          <w:rFonts w:hint="eastAsia" w:ascii="仿宋_GB2312" w:hAnsi="仿宋_GB2312" w:eastAsia="仿宋_GB2312" w:cs="仿宋_GB2312"/>
          <w:sz w:val="32"/>
          <w:szCs w:val="32"/>
          <w:highlight w:val="none"/>
          <w:lang w:eastAsia="zh-CN"/>
        </w:rPr>
        <w:t>，为客户提供业扩报装、电费查询缴纳、用电咨询等业务，</w:t>
      </w:r>
      <w:r>
        <w:rPr>
          <w:rFonts w:hint="eastAsia" w:ascii="仿宋_GB2312" w:hAnsi="仿宋_GB2312" w:eastAsia="仿宋_GB2312" w:cs="仿宋_GB2312"/>
          <w:sz w:val="32"/>
          <w:szCs w:val="32"/>
          <w:highlight w:val="none"/>
          <w:lang w:val="en-US" w:eastAsia="zh-CN"/>
        </w:rPr>
        <w:t>同时扎实推进</w:t>
      </w:r>
      <w:r>
        <w:rPr>
          <w:rFonts w:hint="eastAsia" w:ascii="仿宋_GB2312" w:hAnsi="仿宋_GB2312" w:eastAsia="仿宋_GB2312" w:cs="仿宋_GB2312"/>
          <w:sz w:val="32"/>
          <w:szCs w:val="32"/>
          <w:highlight w:val="none"/>
        </w:rPr>
        <w:t>“党建+优质服务”</w:t>
      </w:r>
      <w:r>
        <w:rPr>
          <w:rFonts w:hint="eastAsia" w:ascii="仿宋_GB2312" w:hAnsi="仿宋_GB2312" w:eastAsia="仿宋_GB2312" w:cs="仿宋_GB2312"/>
          <w:sz w:val="32"/>
          <w:szCs w:val="32"/>
          <w:highlight w:val="none"/>
          <w:lang w:val="en-US" w:eastAsia="zh-CN"/>
        </w:rPr>
        <w:t>工程</w:t>
      </w:r>
      <w:r>
        <w:rPr>
          <w:rFonts w:hint="eastAsia" w:ascii="仿宋_GB2312" w:hAnsi="仿宋_GB2312" w:eastAsia="仿宋_GB2312" w:cs="仿宋_GB2312"/>
          <w:sz w:val="32"/>
          <w:szCs w:val="32"/>
          <w:highlight w:val="none"/>
          <w:lang w:eastAsia="zh-CN"/>
        </w:rPr>
        <w:t>，发挥共产党员服务队和青年志愿者作用，推进网格群</w:t>
      </w:r>
      <w:r>
        <w:rPr>
          <w:rFonts w:hint="eastAsia" w:ascii="仿宋_GB2312" w:hAnsi="仿宋_GB2312" w:eastAsia="仿宋_GB2312" w:cs="仿宋_GB2312"/>
          <w:sz w:val="32"/>
          <w:szCs w:val="32"/>
          <w:highlight w:val="none"/>
          <w:lang w:val="en-US" w:eastAsia="zh-CN"/>
        </w:rPr>
        <w:t>与</w:t>
      </w:r>
      <w:r>
        <w:rPr>
          <w:rFonts w:hint="eastAsia" w:ascii="仿宋_GB2312" w:hAnsi="仿宋_GB2312" w:eastAsia="仿宋_GB2312" w:cs="仿宋_GB2312"/>
          <w:sz w:val="32"/>
          <w:szCs w:val="32"/>
          <w:highlight w:val="none"/>
          <w:lang w:eastAsia="zh-CN"/>
        </w:rPr>
        <w:t>电力驿站</w:t>
      </w:r>
      <w:r>
        <w:rPr>
          <w:rFonts w:hint="eastAsia" w:ascii="仿宋_GB2312" w:hAnsi="仿宋_GB2312" w:eastAsia="仿宋_GB2312" w:cs="仿宋_GB2312"/>
          <w:sz w:val="32"/>
          <w:szCs w:val="32"/>
          <w:highlight w:val="none"/>
          <w:lang w:val="en-US" w:eastAsia="zh-CN"/>
        </w:rPr>
        <w:t>双向融合</w:t>
      </w:r>
      <w:r>
        <w:rPr>
          <w:rFonts w:hint="eastAsia" w:ascii="仿宋_GB2312" w:hAnsi="仿宋_GB2312" w:eastAsia="仿宋_GB2312" w:cs="仿宋_GB2312"/>
          <w:sz w:val="32"/>
          <w:szCs w:val="32"/>
          <w:highlight w:val="none"/>
          <w:lang w:eastAsia="zh-CN"/>
        </w:rPr>
        <w:t>，打通电力服务“最后一百米”；</w:t>
      </w:r>
      <w:r>
        <w:rPr>
          <w:rFonts w:hint="eastAsia" w:ascii="仿宋_GB2312" w:hAnsi="仿宋_GB2312" w:eastAsia="仿宋_GB2312" w:cs="仿宋_GB2312"/>
          <w:sz w:val="32"/>
          <w:szCs w:val="32"/>
          <w:highlight w:val="none"/>
          <w:lang w:val="en-US" w:eastAsia="zh-CN"/>
        </w:rPr>
        <w:t>将“水电气暖网共享营业厅”作为资源共享、互利互惠的公共事项“一站式”服务平台，继续秉持共商、共建、共享的合作原则，不断探索新型合作模式，持续提高公用事业便民服务水平，为客户提供更加规范化、便利化、智能化的共享服务。</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建立更加规范科学的网格化服务评价标准，强化人力资源保障，配</w:t>
      </w:r>
      <w:r>
        <w:rPr>
          <w:rFonts w:hint="eastAsia" w:ascii="仿宋_GB2312" w:hAnsi="仿宋_GB2312" w:eastAsia="仿宋_GB2312" w:cs="仿宋_GB2312"/>
          <w:sz w:val="32"/>
          <w:szCs w:val="32"/>
        </w:rPr>
        <w:t>齐网格化服务经理。进一步提升网格员服务素质，降低人均服务客户数量，建立客户分级分类标签库，实现普遍服务向精准服务转变，年度客户需求密度下降10%目标。</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构建高级、中级、初级客户经理分层体系，精准服务多类型客户群体，提升客户服务品牌影响力。</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发挥客户服务快速响应服务中心“三站合一”作用，建立客户诉求“四级预警督办”机制，实现“响应率、办结率、解决率、满意率”保持最优水平。</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深化“帮代办”服务成立用电专项服务小组，党员服务队上门为企业提供“一企一案”优质服务。</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是</w:t>
      </w:r>
      <w:r>
        <w:rPr>
          <w:rFonts w:hint="eastAsia" w:ascii="仿宋_GB2312" w:hAnsi="仿宋_GB2312" w:eastAsia="仿宋_GB2312" w:cs="仿宋_GB2312"/>
          <w:sz w:val="32"/>
          <w:szCs w:val="32"/>
        </w:rPr>
        <w:t>推出“电参谋”、“电管家”服务，党员带头深入了解企业刚需，不断满足客户多样化用电需求，助力地方经济快速发展。</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(1)营销服务部负责完善便民服务响应机制，指导相关举措落地落实。(2023年7月)</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3.完善投诉服务管控机制，提升客户评价</w:t>
      </w:r>
    </w:p>
    <w:p>
      <w:pPr>
        <w:pStyle w:val="6"/>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sz w:val="32"/>
          <w:szCs w:val="32"/>
        </w:rPr>
        <w:t>围绕用电报装时间、环节、成本、供电可靠性等方面，搭建“便利化、透明化、标准化、规范化”的服务监管体系。</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针对周期性重复性业务，依托大数据应用实现管理线上化、预警自动化，推进业务全流程线上管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业扩工单日预警管控，业扩指标月排名通报，监督各分公司业扩全过程管控情况，确保各环节在时限内完成。</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sz w:val="32"/>
          <w:szCs w:val="32"/>
          <w:highlight w:val="none"/>
        </w:rPr>
        <w:t>建立第三方满意度评价体系，引入</w:t>
      </w:r>
      <w:r>
        <w:rPr>
          <w:rFonts w:hint="eastAsia" w:ascii="仿宋_GB2312" w:hAnsi="仿宋_GB2312" w:eastAsia="仿宋_GB2312" w:cs="仿宋_GB2312"/>
          <w:sz w:val="32"/>
          <w:szCs w:val="32"/>
        </w:rPr>
        <w:t>第三方公司定期开展客户满意度调查评估，依据评测结果及时发现问题短板并提出解决措施。</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(1)营销服务部负责协调政府有关部门推进业务专业化转型、提升营销数字化建设水平，完善第三方满意度评价体系。(2023年6月)</w:t>
      </w:r>
    </w:p>
    <w:p>
      <w:pPr>
        <w:pStyle w:val="2"/>
        <w:ind w:firstLine="643"/>
        <w:rPr>
          <w:rFonts w:eastAsia="仿宋_GB2312"/>
          <w:b/>
          <w:bCs/>
        </w:rPr>
      </w:pPr>
      <w:r>
        <w:rPr>
          <w:rFonts w:hint="eastAsia" w:ascii="仿宋_GB2312" w:hAnsi="仿宋_GB2312" w:eastAsia="仿宋_GB2312" w:cs="仿宋_GB2312"/>
          <w:b/>
          <w:bCs/>
          <w:sz w:val="32"/>
          <w:szCs w:val="32"/>
        </w:rPr>
        <w:t>（六）推进电气化建设，助力</w:t>
      </w:r>
      <w:r>
        <w:rPr>
          <w:rFonts w:hint="eastAsia" w:ascii="仿宋_GB2312" w:hAnsi="仿宋_GB2312" w:eastAsia="仿宋_GB2312" w:cs="仿宋_GB2312"/>
          <w:b/>
          <w:bCs/>
          <w:sz w:val="32"/>
          <w:szCs w:val="32"/>
          <w:highlight w:val="none"/>
          <w:lang w:eastAsia="zh-CN"/>
        </w:rPr>
        <w:t>农业智慧</w:t>
      </w:r>
      <w:r>
        <w:rPr>
          <w:rFonts w:hint="eastAsia" w:ascii="仿宋_GB2312" w:hAnsi="仿宋_GB2312" w:eastAsia="仿宋_GB2312" w:cs="仿宋_GB2312"/>
          <w:b/>
          <w:bCs/>
          <w:sz w:val="32"/>
          <w:szCs w:val="32"/>
          <w:highlight w:val="none"/>
        </w:rPr>
        <w:t>化</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.助力智慧农业生产，做好电力先行官</w:t>
      </w:r>
    </w:p>
    <w:p>
      <w:pPr>
        <w:suppressAutoHyphens/>
        <w:spacing w:line="600" w:lineRule="exact"/>
        <w:ind w:firstLine="643"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rPr>
        <w:t>全面推广农村生产电气化程度，在农业种植、畜牧业养殖、农产品初加工及仓储物流、线上农产品电商销售服务等领域，提供电价优惠政策分析、电气化技术应用、“三零、三省”服务投资、客户侧节能、安全</w:t>
      </w:r>
      <w:r>
        <w:rPr>
          <w:rFonts w:hint="eastAsia" w:ascii="仿宋_GB2312" w:hAnsi="仿宋_GB2312" w:eastAsia="仿宋_GB2312" w:cs="仿宋_GB2312"/>
          <w:sz w:val="32"/>
          <w:szCs w:val="32"/>
          <w:highlight w:val="none"/>
        </w:rPr>
        <w:t>用电等电力惠农服务。</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sz w:val="32"/>
          <w:szCs w:val="32"/>
          <w:highlight w:val="none"/>
          <w:lang w:val="en-US" w:eastAsia="zh-CN"/>
        </w:rPr>
        <w:t>积极推进“光伏+智慧农业”融合发展，深入开展农村分布式能源关键技术研究，加强现代农业和特色产业等新型乡村负荷特性研究，从政策解读、配套电网建设、光伏并网、抄表结算等各环节加大对居民屋顶光伏、村集体光伏电站及配套村域储能系统建设支持。</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职责分工：</w:t>
      </w:r>
    </w:p>
    <w:p>
      <w:pPr>
        <w:suppressAutoHyphens/>
        <w:spacing w:line="600" w:lineRule="exact"/>
        <w:ind w:firstLine="640" w:firstLineChars="200"/>
      </w:pPr>
      <w:r>
        <w:rPr>
          <w:rFonts w:hint="eastAsia" w:ascii="仿宋_GB2312" w:hAnsi="仿宋_GB2312" w:eastAsia="仿宋_GB2312" w:cs="仿宋_GB2312"/>
          <w:sz w:val="32"/>
          <w:szCs w:val="32"/>
        </w:rPr>
        <w:t>(1)营销服务部负责跟踪方案惠农措施的落实情况。(长期)</w:t>
      </w:r>
    </w:p>
    <w:p>
      <w:pPr>
        <w:suppressAutoHyphens/>
        <w:spacing w:line="600" w:lineRule="exact"/>
        <w:ind w:firstLine="643" w:firstLineChars="200"/>
        <w:rPr>
          <w:rFonts w:ascii="仿宋" w:hAnsi="仿宋" w:eastAsia="仿宋"/>
        </w:rPr>
      </w:pPr>
      <w:r>
        <w:rPr>
          <w:rFonts w:hint="eastAsia" w:ascii="仿宋_GB2312" w:hAnsi="仿宋_GB2312" w:eastAsia="仿宋_GB2312" w:cs="仿宋_GB2312"/>
          <w:b/>
          <w:bCs/>
          <w:sz w:val="32"/>
          <w:szCs w:val="32"/>
        </w:rPr>
        <w:t>（七）推进低碳化发展，电靓黄河金岸魅力</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1.持续支持电能替代，助力乡村生态宜居</w:t>
      </w:r>
    </w:p>
    <w:p>
      <w:pPr>
        <w:suppressAutoHyphens/>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sz w:val="32"/>
          <w:szCs w:val="32"/>
        </w:rPr>
        <w:t>主要任务：一是</w:t>
      </w:r>
      <w:r>
        <w:rPr>
          <w:rFonts w:hint="eastAsia" w:ascii="仿宋_GB2312" w:hAnsi="仿宋_GB2312" w:eastAsia="仿宋_GB2312" w:cs="仿宋_GB2312"/>
          <w:kern w:val="0"/>
          <w:sz w:val="32"/>
          <w:szCs w:val="32"/>
        </w:rPr>
        <w:t>持续支持清洁取暖工程建设和大气污染防治，积极落实自治区冬季清洁取暖规划及电供暖相关政策，大力推进“煤改电”工程，因地制宜制定取暖技术路线，对自治区电供暖年度接入规模进行统一规划和接入，加速电采暖配套电网建设，全力保障客户采暖季清洁供暖服务需求，同步开展“煤改电”运营监控分析，提供新型优质供暖服务，广泛宣传“煤改电”政策，使电力取暖“可获得、可支付、可持续”。</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rPr>
        <w:t>紧密衔接工程各环节，实行日报周报制度，确保施工有序推进。严格监管现场安全和生产工艺，各基层班组安排专人与施工单位同进同出，严把工程质量，严控工程进度，确保此项民生工程建成百姓满意的“暖心工程”。</w:t>
      </w: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进一步强化配套建设高效协同，做到“确认一村、</w:t>
      </w:r>
      <w:r>
        <w:rPr>
          <w:rFonts w:hint="eastAsia" w:ascii="仿宋_GB2312" w:hAnsi="仿宋_GB2312" w:eastAsia="仿宋_GB2312" w:cs="仿宋_GB2312"/>
          <w:kern w:val="0"/>
          <w:sz w:val="32"/>
          <w:szCs w:val="32"/>
          <w:lang w:eastAsia="zh-CN"/>
        </w:rPr>
        <w:t>改造</w:t>
      </w:r>
      <w:r>
        <w:rPr>
          <w:rFonts w:hint="eastAsia" w:ascii="仿宋_GB2312" w:hAnsi="仿宋_GB2312" w:eastAsia="仿宋_GB2312" w:cs="仿宋_GB2312"/>
          <w:kern w:val="0"/>
          <w:sz w:val="32"/>
          <w:szCs w:val="32"/>
        </w:rPr>
        <w:t>一村”，各专业同步推进；按照“一个项目一支队伍”的原则，落实工程施工计划，确保工程质量标准；将“煤改电”工程停电作为配网停电最高优先级，做到“一停多用”，最大限度减少停电时间和频次，降低对群众的用电影响。</w:t>
      </w:r>
      <w:r>
        <w:rPr>
          <w:rFonts w:hint="eastAsia" w:ascii="仿宋_GB2312" w:hAnsi="仿宋_GB2312" w:eastAsia="仿宋_GB2312" w:cs="仿宋_GB2312"/>
          <w:b/>
          <w:bCs/>
          <w:kern w:val="0"/>
          <w:sz w:val="32"/>
          <w:szCs w:val="32"/>
        </w:rPr>
        <w:t>四是</w:t>
      </w:r>
      <w:r>
        <w:rPr>
          <w:rFonts w:hint="eastAsia" w:ascii="仿宋_GB2312" w:hAnsi="仿宋_GB2312" w:eastAsia="仿宋_GB2312" w:cs="仿宋_GB2312"/>
          <w:sz w:val="32"/>
          <w:szCs w:val="32"/>
        </w:rPr>
        <w:t>配合政府做好污水及生活垃圾收集处理、乡村饮用水等电气化全覆盖。</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(1)营销服务部负责细化、落实乡村电能替代项目的报装接入服务工作，落实执行优惠电价。（长期）</w:t>
      </w:r>
    </w:p>
    <w:p>
      <w:pPr>
        <w:suppressAutoHyphens/>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(2)生产技术部负责乡村电能替代项目接入技术指导，组织、推动配套电网改造工作。（长期）</w:t>
      </w:r>
    </w:p>
    <w:p>
      <w:pPr>
        <w:pStyle w:val="5"/>
        <w:keepNext w:val="0"/>
        <w:keepLines w:val="0"/>
        <w:spacing w:before="0" w:after="0" w:line="600" w:lineRule="exact"/>
        <w:ind w:firstLine="643" w:firstLineChars="200"/>
        <w:rPr>
          <w:rFonts w:ascii="仿宋_GB2312" w:hAnsi="仿宋_GB2312" w:eastAsia="仿宋_GB2312" w:cs="仿宋_GB2312"/>
          <w:bCs/>
          <w:szCs w:val="32"/>
        </w:rPr>
      </w:pPr>
      <w:r>
        <w:rPr>
          <w:rFonts w:hint="eastAsia" w:ascii="仿宋_GB2312" w:hAnsi="仿宋_GB2312" w:eastAsia="仿宋_GB2312" w:cs="仿宋_GB2312"/>
          <w:bCs/>
          <w:szCs w:val="32"/>
        </w:rPr>
        <w:t>2.持续支持文旅发展，电靓黄河金岸</w:t>
      </w:r>
    </w:p>
    <w:p>
      <w:pPr>
        <w:pStyle w:val="5"/>
        <w:keepNext w:val="0"/>
        <w:keepLines w:val="0"/>
        <w:spacing w:before="0" w:after="0" w:line="600" w:lineRule="exact"/>
        <w:ind w:firstLine="640" w:firstLineChars="200"/>
        <w:rPr>
          <w:rFonts w:ascii="仿宋_GB2312" w:hAnsi="仿宋_GB2312" w:eastAsia="仿宋_GB2312" w:cs="仿宋_GB2312"/>
          <w:bCs/>
          <w:szCs w:val="32"/>
          <w:highlight w:val="none"/>
        </w:rPr>
      </w:pPr>
      <w:r>
        <w:rPr>
          <w:rFonts w:hint="eastAsia" w:ascii="仿宋_GB2312" w:hAnsi="仿宋_GB2312" w:eastAsia="仿宋_GB2312" w:cs="仿宋_GB2312"/>
          <w:b w:val="0"/>
          <w:szCs w:val="32"/>
        </w:rPr>
        <w:t>主要任务：</w:t>
      </w:r>
      <w:r>
        <w:rPr>
          <w:rFonts w:hint="eastAsia" w:ascii="仿宋_GB2312" w:hAnsi="仿宋_GB2312" w:eastAsia="仿宋_GB2312" w:cs="仿宋_GB2312"/>
          <w:bCs/>
          <w:szCs w:val="32"/>
        </w:rPr>
        <w:t>一是</w:t>
      </w:r>
      <w:r>
        <w:rPr>
          <w:rFonts w:hint="eastAsia" w:ascii="仿宋_GB2312" w:hAnsi="仿宋_GB2312" w:eastAsia="仿宋_GB2312" w:cs="仿宋_GB2312"/>
          <w:b w:val="0"/>
          <w:szCs w:val="32"/>
        </w:rPr>
        <w:t>配合政府做好全电景区、全电民宿等乡村旅游电气化全覆盖，推广乡村一二产业与旅游融合发展</w:t>
      </w:r>
      <w:r>
        <w:rPr>
          <w:rFonts w:hint="eastAsia" w:ascii="仿宋_GB2312" w:hAnsi="仿宋_GB2312" w:eastAsia="仿宋_GB2312" w:cs="仿宋_GB2312"/>
          <w:b w:val="0"/>
          <w:szCs w:val="32"/>
          <w:lang w:eastAsia="zh-CN"/>
        </w:rPr>
        <w:t>，提高</w:t>
      </w:r>
      <w:r>
        <w:rPr>
          <w:rFonts w:hint="eastAsia" w:ascii="仿宋_GB2312" w:hAnsi="仿宋_GB2312" w:eastAsia="仿宋_GB2312" w:cs="仿宋_GB2312"/>
          <w:b w:val="0"/>
          <w:szCs w:val="32"/>
        </w:rPr>
        <w:t>传统手工艺等乡村</w:t>
      </w:r>
      <w:r>
        <w:rPr>
          <w:rFonts w:hint="eastAsia" w:ascii="仿宋_GB2312" w:hAnsi="仿宋_GB2312" w:eastAsia="仿宋_GB2312" w:cs="仿宋_GB2312"/>
          <w:b w:val="0"/>
          <w:szCs w:val="32"/>
          <w:lang w:eastAsia="zh-CN"/>
        </w:rPr>
        <w:t>特色</w:t>
      </w:r>
      <w:r>
        <w:rPr>
          <w:rFonts w:hint="eastAsia" w:ascii="仿宋_GB2312" w:hAnsi="仿宋_GB2312" w:eastAsia="仿宋_GB2312" w:cs="仿宋_GB2312"/>
          <w:b w:val="0"/>
          <w:szCs w:val="32"/>
        </w:rPr>
        <w:t>产业电气化水平</w:t>
      </w:r>
      <w:r>
        <w:rPr>
          <w:rFonts w:hint="eastAsia" w:ascii="仿宋_GB2312" w:hAnsi="仿宋_GB2312" w:eastAsia="仿宋_GB2312" w:cs="仿宋_GB2312"/>
          <w:b w:val="0"/>
          <w:szCs w:val="32"/>
          <w:lang w:eastAsia="zh-CN"/>
        </w:rPr>
        <w:t>，</w:t>
      </w:r>
      <w:r>
        <w:rPr>
          <w:rFonts w:hint="eastAsia" w:ascii="仿宋_GB2312" w:hAnsi="仿宋_GB2312" w:eastAsia="仿宋_GB2312" w:cs="仿宋_GB2312"/>
          <w:b w:val="0"/>
          <w:szCs w:val="32"/>
        </w:rPr>
        <w:t>助力</w:t>
      </w:r>
      <w:r>
        <w:rPr>
          <w:rFonts w:hint="eastAsia" w:ascii="仿宋_GB2312" w:hAnsi="仿宋_GB2312" w:eastAsia="仿宋_GB2312" w:cs="仿宋_GB2312"/>
          <w:b w:val="0"/>
          <w:szCs w:val="32"/>
          <w:lang w:eastAsia="zh-CN"/>
        </w:rPr>
        <w:t>地区</w:t>
      </w:r>
      <w:r>
        <w:rPr>
          <w:rFonts w:hint="eastAsia" w:ascii="仿宋_GB2312" w:hAnsi="仿宋_GB2312" w:eastAsia="仿宋_GB2312" w:cs="仿宋_GB2312"/>
          <w:b w:val="0"/>
          <w:szCs w:val="32"/>
        </w:rPr>
        <w:t>文旅金名片</w:t>
      </w:r>
      <w:r>
        <w:rPr>
          <w:rFonts w:hint="eastAsia" w:ascii="仿宋_GB2312" w:hAnsi="仿宋_GB2312" w:eastAsia="仿宋_GB2312" w:cs="仿宋_GB2312"/>
          <w:b w:val="0"/>
          <w:szCs w:val="32"/>
          <w:lang w:eastAsia="zh-CN"/>
        </w:rPr>
        <w:t>的</w:t>
      </w:r>
      <w:r>
        <w:rPr>
          <w:rFonts w:hint="eastAsia" w:ascii="仿宋_GB2312" w:hAnsi="仿宋_GB2312" w:eastAsia="仿宋_GB2312" w:cs="仿宋_GB2312"/>
          <w:b w:val="0"/>
          <w:szCs w:val="32"/>
        </w:rPr>
        <w:t>打造</w:t>
      </w:r>
      <w:r>
        <w:rPr>
          <w:rFonts w:hint="eastAsia" w:ascii="仿宋_GB2312" w:hAnsi="仿宋_GB2312" w:eastAsia="仿宋_GB2312" w:cs="仿宋_GB2312"/>
          <w:b w:val="0"/>
          <w:szCs w:val="32"/>
          <w:lang w:eastAsia="zh-CN"/>
        </w:rPr>
        <w:t>。</w:t>
      </w:r>
      <w:r>
        <w:rPr>
          <w:rFonts w:hint="eastAsia" w:ascii="仿宋_GB2312" w:hAnsi="仿宋_GB2312" w:eastAsia="仿宋_GB2312" w:cs="仿宋_GB2312"/>
          <w:bCs/>
          <w:szCs w:val="32"/>
          <w:highlight w:val="none"/>
          <w:lang w:eastAsia="zh-CN"/>
        </w:rPr>
        <w:t>二</w:t>
      </w:r>
      <w:r>
        <w:rPr>
          <w:rFonts w:hint="eastAsia" w:ascii="仿宋_GB2312" w:hAnsi="仿宋_GB2312" w:eastAsia="仿宋_GB2312" w:cs="仿宋_GB2312"/>
          <w:bCs/>
          <w:szCs w:val="32"/>
          <w:highlight w:val="none"/>
        </w:rPr>
        <w:t>是</w:t>
      </w:r>
      <w:r>
        <w:rPr>
          <w:rFonts w:hint="eastAsia" w:ascii="仿宋_GB2312" w:hAnsi="仿宋_GB2312" w:eastAsia="仿宋_GB2312" w:cs="仿宋_GB2312"/>
          <w:b w:val="0"/>
          <w:szCs w:val="32"/>
          <w:highlight w:val="none"/>
          <w:lang w:val="en-US" w:eastAsia="zh-CN"/>
        </w:rPr>
        <w:t>完善供电保障机制，对</w:t>
      </w:r>
      <w:r>
        <w:rPr>
          <w:rFonts w:hint="eastAsia" w:ascii="仿宋_GB2312" w:hAnsi="仿宋_GB2312" w:eastAsia="仿宋_GB2312" w:cs="仿宋_GB2312"/>
          <w:b w:val="0"/>
          <w:szCs w:val="32"/>
          <w:highlight w:val="none"/>
        </w:rPr>
        <w:t>集市夜市、旅游节等临时用电</w:t>
      </w:r>
      <w:r>
        <w:rPr>
          <w:rFonts w:hint="eastAsia" w:ascii="仿宋_GB2312" w:hAnsi="仿宋_GB2312" w:eastAsia="仿宋_GB2312" w:cs="仿宋_GB2312"/>
          <w:b w:val="0"/>
          <w:szCs w:val="32"/>
          <w:highlight w:val="none"/>
          <w:lang w:val="en-US" w:eastAsia="zh-CN"/>
        </w:rPr>
        <w:t>项目量身制订保供方案，完善应急管理措施，强化电力设施运维管理，增加供电线路夜巡、测温次数，确保电网安全可靠运行，全力满足</w:t>
      </w:r>
      <w:r>
        <w:rPr>
          <w:rFonts w:hint="eastAsia" w:ascii="仿宋_GB2312" w:hAnsi="仿宋_GB2312" w:eastAsia="仿宋_GB2312" w:cs="仿宋_GB2312"/>
          <w:b w:val="0"/>
          <w:szCs w:val="32"/>
          <w:highlight w:val="none"/>
        </w:rPr>
        <w:t>集市夜市、旅游节等临时用电需求。</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生产技术部负责乡村文旅项目的配套电网改造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供电保障</w:t>
      </w:r>
      <w:r>
        <w:rPr>
          <w:rFonts w:hint="eastAsia" w:ascii="仿宋_GB2312" w:hAnsi="仿宋_GB2312" w:eastAsia="仿宋_GB2312" w:cs="仿宋_GB2312"/>
          <w:kern w:val="0"/>
          <w:sz w:val="32"/>
          <w:szCs w:val="32"/>
        </w:rPr>
        <w:t>工作。（长期）</w:t>
      </w:r>
    </w:p>
    <w:p>
      <w:pPr>
        <w:suppressAutoHyphens/>
        <w:spacing w:line="600" w:lineRule="exact"/>
        <w:rPr>
          <w:rFonts w:ascii="仿宋_GB2312" w:hAnsi="仿宋_GB2312" w:eastAsia="仿宋_GB2312" w:cs="仿宋_GB2312"/>
          <w:kern w:val="0"/>
          <w:sz w:val="32"/>
          <w:szCs w:val="32"/>
        </w:rPr>
      </w:pPr>
      <w:r>
        <w:rPr>
          <w:rFonts w:hint="eastAsia"/>
        </w:rPr>
        <w:t xml:space="preserve">  </w:t>
      </w:r>
      <w:r>
        <w:rPr>
          <w:rFonts w:hint="eastAsia"/>
          <w:lang w:val="en-US" w:eastAsia="zh-CN"/>
        </w:rPr>
        <w:t xml:space="preserve">  </w:t>
      </w:r>
      <w:r>
        <w:rPr>
          <w:rFonts w:hint="eastAsia"/>
        </w:rPr>
        <w:t xml:space="preserve">  </w:t>
      </w:r>
      <w:r>
        <w:rPr>
          <w:rFonts w:hint="eastAsia" w:ascii="仿宋_GB2312" w:hAnsi="仿宋_GB2312" w:eastAsia="仿宋_GB2312" w:cs="仿宋_GB2312"/>
          <w:kern w:val="0"/>
          <w:sz w:val="32"/>
          <w:szCs w:val="32"/>
        </w:rPr>
        <w:t>(2)营销服务部负责乡村文旅项目</w:t>
      </w:r>
      <w:r>
        <w:rPr>
          <w:rFonts w:hint="eastAsia" w:ascii="仿宋_GB2312" w:hAnsi="仿宋_GB2312" w:eastAsia="仿宋_GB2312" w:cs="仿宋_GB2312"/>
          <w:kern w:val="0"/>
          <w:sz w:val="32"/>
          <w:szCs w:val="32"/>
          <w:lang w:val="en-US" w:eastAsia="zh-CN"/>
        </w:rPr>
        <w:t>营销</w:t>
      </w:r>
      <w:r>
        <w:rPr>
          <w:rFonts w:hint="eastAsia" w:ascii="仿宋_GB2312" w:hAnsi="仿宋_GB2312" w:eastAsia="仿宋_GB2312" w:cs="仿宋_GB2312"/>
          <w:kern w:val="0"/>
          <w:sz w:val="32"/>
          <w:szCs w:val="32"/>
        </w:rPr>
        <w:t>服务工作。（长期）</w:t>
      </w:r>
    </w:p>
    <w:p>
      <w:pPr>
        <w:ind w:firstLine="643" w:firstLineChars="200"/>
        <w:rPr>
          <w:rFonts w:ascii="楷体_GB2312" w:hAnsi="楷体_GB2312" w:eastAsia="楷体_GB2312" w:cs="楷体_GB2312"/>
          <w:bCs/>
          <w:szCs w:val="32"/>
        </w:rPr>
      </w:pPr>
      <w:r>
        <w:rPr>
          <w:rFonts w:hint="eastAsia" w:ascii="仿宋_GB2312" w:hAnsi="仿宋_GB2312" w:eastAsia="仿宋_GB2312" w:cs="仿宋_GB2312"/>
          <w:b/>
          <w:bCs/>
          <w:kern w:val="0"/>
          <w:sz w:val="32"/>
          <w:szCs w:val="32"/>
        </w:rPr>
        <w:t>（八</w:t>
      </w:r>
      <w:r>
        <w:rPr>
          <w:rFonts w:hint="eastAsia" w:ascii="仿宋_GB2312" w:hAnsi="仿宋_GB2312" w:eastAsia="仿宋_GB2312" w:cs="仿宋_GB2312"/>
          <w:b/>
          <w:bCs/>
          <w:sz w:val="32"/>
          <w:szCs w:val="32"/>
        </w:rPr>
        <w:t>）</w:t>
      </w:r>
      <w:bookmarkEnd w:id="23"/>
      <w:r>
        <w:rPr>
          <w:rFonts w:hint="eastAsia" w:ascii="仿宋_GB2312" w:hAnsi="仿宋_GB2312" w:eastAsia="仿宋_GB2312" w:cs="仿宋_GB2312"/>
          <w:b/>
          <w:bCs/>
          <w:sz w:val="32"/>
          <w:szCs w:val="32"/>
        </w:rPr>
        <w:t>加强智能电网建设，提升供电保障能力</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kern w:val="0"/>
          <w:sz w:val="32"/>
          <w:szCs w:val="32"/>
        </w:rPr>
        <w:t>加强配网规划建设，提升供电可靠水平</w:t>
      </w:r>
    </w:p>
    <w:p>
      <w:pPr>
        <w:suppressAutoHyphens/>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主要任务</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一是</w:t>
      </w:r>
      <w:r>
        <w:rPr>
          <w:rFonts w:hint="eastAsia" w:ascii="仿宋_GB2312" w:hAnsi="仿宋_GB2312" w:eastAsia="仿宋_GB2312" w:cs="仿宋_GB2312"/>
          <w:kern w:val="0"/>
          <w:sz w:val="32"/>
          <w:szCs w:val="32"/>
        </w:rPr>
        <w:t>落实巴彦淖尔“十四五”配电网建设发展规划要求，优化配电网架结构，明确地区配电网典型接线方式，逐年提升线路联络率、转供率。加大农村电网改造升级投入，延伸偏远地区电网覆盖。实施重载变电站增容改造工程，推动各数字化配电台区建设，提升供电可靠性。</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lang w:eastAsia="zh-CN"/>
        </w:rPr>
        <w:t>充分</w:t>
      </w:r>
      <w:r>
        <w:rPr>
          <w:rFonts w:hint="eastAsia" w:ascii="仿宋_GB2312" w:hAnsi="仿宋_GB2312" w:eastAsia="仿宋_GB2312" w:cs="仿宋_GB2312"/>
          <w:kern w:val="0"/>
          <w:sz w:val="32"/>
          <w:szCs w:val="32"/>
        </w:rPr>
        <w:t>结合地区负荷接待和远期发展规划，科学合理</w:t>
      </w:r>
      <w:r>
        <w:rPr>
          <w:rFonts w:hint="eastAsia" w:ascii="仿宋_GB2312" w:hAnsi="仿宋_GB2312" w:eastAsia="仿宋_GB2312" w:cs="仿宋_GB2312"/>
          <w:kern w:val="0"/>
          <w:sz w:val="32"/>
          <w:szCs w:val="32"/>
          <w:lang w:eastAsia="zh-CN"/>
        </w:rPr>
        <w:t>制定变电站新建、改造方案</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优先</w:t>
      </w:r>
      <w:r>
        <w:rPr>
          <w:rFonts w:hint="eastAsia" w:ascii="仿宋_GB2312" w:hAnsi="仿宋_GB2312" w:eastAsia="仿宋_GB2312" w:cs="仿宋_GB2312"/>
          <w:kern w:val="0"/>
          <w:sz w:val="32"/>
          <w:szCs w:val="32"/>
        </w:rPr>
        <w:t>采用预制舱</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优化出线路径，从前端消除后期各项扩建工程因路径交叉重叠而引起的倒间隔、切改线路等情况发生</w:t>
      </w:r>
      <w:r>
        <w:rPr>
          <w:rFonts w:hint="eastAsia" w:ascii="仿宋_GB2312" w:hAnsi="仿宋_GB2312" w:eastAsia="仿宋_GB2312" w:cs="仿宋_GB2312"/>
          <w:kern w:val="0"/>
          <w:sz w:val="32"/>
          <w:szCs w:val="32"/>
          <w:lang w:eastAsia="zh-CN"/>
        </w:rPr>
        <w:t>，进一步压减工程停电时间，</w:t>
      </w:r>
      <w:r>
        <w:rPr>
          <w:rFonts w:hint="eastAsia" w:ascii="仿宋_GB2312" w:hAnsi="仿宋_GB2312" w:eastAsia="仿宋_GB2312" w:cs="仿宋_GB2312"/>
          <w:kern w:val="0"/>
          <w:sz w:val="32"/>
          <w:szCs w:val="32"/>
        </w:rPr>
        <w:t>保障用户连续用电需求。健全“科学规范、高效协同、责任明确、闭环落实”的电网运行风险预警管控机制，提升电网运维水平。</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(1)计划发展部负责落实配网发展规划要求，做好配网规划顶层设计工作。（长期）</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(2)生产技术部负责配电网接线方式优化，逐步提高供电可靠性和配电网运维水平。（长期）</w:t>
      </w:r>
    </w:p>
    <w:p>
      <w:pPr>
        <w:pStyle w:val="2"/>
        <w:keepNext w:val="0"/>
        <w:keepLines w:val="0"/>
        <w:pageBreakBefore w:val="0"/>
        <w:widowControl w:val="0"/>
        <w:kinsoku/>
        <w:wordWrap/>
        <w:overflowPunct/>
        <w:topLinePunct w:val="0"/>
        <w:autoSpaceDE/>
        <w:autoSpaceDN/>
        <w:bidi w:val="0"/>
        <w:adjustRightInd/>
        <w:snapToGrid/>
        <w:spacing w:line="360" w:lineRule="auto"/>
        <w:ind w:firstLine="640"/>
        <w:textAlignment w:val="auto"/>
      </w:pPr>
      <w:r>
        <w:rPr>
          <w:rFonts w:hint="eastAsia" w:ascii="仿宋_GB2312" w:hAnsi="仿宋_GB2312" w:eastAsia="仿宋_GB2312" w:cs="仿宋_GB2312"/>
          <w:kern w:val="0"/>
          <w:sz w:val="32"/>
          <w:szCs w:val="32"/>
        </w:rPr>
        <w:t>(3)工程建设部负责优化配网新建、改进工程施工方案，减少因工程实施引起的停电时长。（长期）</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2.加强故障隐患管理，提升设备健康水平</w:t>
      </w:r>
    </w:p>
    <w:p>
      <w:pPr>
        <w:suppressAutoHyphens/>
        <w:spacing w:line="600" w:lineRule="exact"/>
        <w:ind w:firstLine="619" w:firstLineChars="200"/>
        <w:rPr>
          <w:rFonts w:ascii="仿宋_GB2312" w:hAnsi="仿宋_GB2312" w:eastAsia="仿宋_GB2312" w:cs="仿宋_GB2312"/>
          <w:sz w:val="32"/>
          <w:szCs w:val="32"/>
        </w:rPr>
      </w:pPr>
      <w:r>
        <w:rPr>
          <w:rFonts w:hint="eastAsia" w:ascii="仿宋_GB2312" w:hAnsi="仿宋_GB2312" w:eastAsia="仿宋_GB2312" w:cs="仿宋_GB2312"/>
          <w:b/>
          <w:bCs/>
          <w:spacing w:val="-6"/>
          <w:sz w:val="32"/>
          <w:szCs w:val="32"/>
        </w:rPr>
        <w:t>主要任务：一是</w:t>
      </w:r>
      <w:r>
        <w:rPr>
          <w:rFonts w:hint="eastAsia" w:ascii="仿宋_GB2312" w:hAnsi="仿宋_GB2312" w:eastAsia="仿宋_GB2312" w:cs="仿宋_GB2312"/>
          <w:spacing w:val="-6"/>
          <w:sz w:val="32"/>
          <w:szCs w:val="32"/>
        </w:rPr>
        <w:t>加强配电线路设备状态定级评价工作，分析线路运行状态、多发故障原因、易受灾类型等因素，优化巡视周期、巡视手段，加强设备运行安全性分析和设备全寿命周期管理。</w:t>
      </w:r>
      <w:r>
        <w:rPr>
          <w:rFonts w:hint="eastAsia" w:ascii="仿宋_GB2312" w:hAnsi="仿宋_GB2312" w:eastAsia="仿宋_GB2312" w:cs="仿宋_GB2312"/>
          <w:b/>
          <w:bCs/>
          <w:spacing w:val="-6"/>
          <w:sz w:val="32"/>
          <w:szCs w:val="32"/>
        </w:rPr>
        <w:t>二是</w:t>
      </w:r>
      <w:r>
        <w:rPr>
          <w:rFonts w:hint="eastAsia" w:ascii="仿宋_GB2312" w:hAnsi="仿宋_GB2312" w:eastAsia="仿宋_GB2312" w:cs="仿宋_GB2312"/>
          <w:spacing w:val="-6"/>
          <w:sz w:val="32"/>
          <w:szCs w:val="32"/>
        </w:rPr>
        <w:t>提升电力安全风险分级管控和隐患排查治理水平，持续开展生产设备“消缺陷、除隐患、控风险”安全生产专项提升活动，提升设备安全管理，强化设备精益化运维和设备隐患治理，强化安全风险分级管控和隐患排查治理双重预防机制，实现生产设备运检管理水平和供电能力再提升。</w:t>
      </w:r>
      <w:r>
        <w:rPr>
          <w:rFonts w:hint="eastAsia" w:ascii="仿宋_GB2312" w:hAnsi="仿宋_GB2312" w:eastAsia="仿宋_GB2312" w:cs="仿宋_GB2312"/>
          <w:b/>
          <w:bCs/>
          <w:spacing w:val="-6"/>
          <w:sz w:val="32"/>
          <w:szCs w:val="32"/>
        </w:rPr>
        <w:t>三是</w:t>
      </w:r>
      <w:r>
        <w:rPr>
          <w:rFonts w:hint="eastAsia" w:ascii="仿宋_GB2312" w:hAnsi="仿宋_GB2312" w:eastAsia="仿宋_GB2312" w:cs="仿宋_GB2312"/>
          <w:spacing w:val="-6"/>
          <w:sz w:val="32"/>
          <w:szCs w:val="32"/>
        </w:rPr>
        <w:t>开展辖区配电线路整线治理，针对配电线路突出问题及隐患排查治理工作，对重点交跨区域、雷害多发区、鸟害多发区、客户侧故障越级问题、树线矛盾、电缆通道、设备接地、标志标识、绝缘化、配变渗漏油、重要用户及高层建筑单电源、老旧设备问题，建立整线治理问题库及出库消号制度，稳步提升配电设备全生命周期健康水平。</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(1)生产技术部负责监督方案中配网设备管理、隐患排查治理、安全风险分级管控工作的落实情况。（长期）</w:t>
      </w:r>
    </w:p>
    <w:p>
      <w:pPr>
        <w:pStyle w:val="2"/>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3.提升带电作业能力，大幅减少停电频次</w:t>
      </w:r>
    </w:p>
    <w:p>
      <w:pPr>
        <w:suppressAutoHyphens/>
        <w:spacing w:line="600" w:lineRule="exact"/>
        <w:ind w:firstLine="619" w:firstLineChars="200"/>
        <w:rPr>
          <w:rFonts w:ascii="仿宋_GB2312" w:hAnsi="仿宋_GB2312" w:eastAsia="仿宋_GB2312" w:cs="仿宋_GB2312"/>
          <w:kern w:val="0"/>
          <w:sz w:val="32"/>
          <w:szCs w:val="32"/>
        </w:rPr>
      </w:pPr>
      <w:r>
        <w:rPr>
          <w:rFonts w:hint="eastAsia" w:ascii="仿宋_GB2312" w:hAnsi="仿宋_GB2312" w:eastAsia="仿宋_GB2312" w:cs="仿宋_GB2312"/>
          <w:b/>
          <w:bCs/>
          <w:spacing w:val="-6"/>
          <w:sz w:val="32"/>
          <w:szCs w:val="32"/>
        </w:rPr>
        <w:t>主要任务：一是</w:t>
      </w:r>
      <w:r>
        <w:rPr>
          <w:rFonts w:hint="eastAsia" w:ascii="仿宋_GB2312" w:hAnsi="仿宋_GB2312" w:eastAsia="仿宋_GB2312" w:cs="仿宋_GB2312"/>
          <w:kern w:val="0"/>
          <w:sz w:val="32"/>
          <w:szCs w:val="32"/>
        </w:rPr>
        <w:t>加强不停电作业能力提升建设，全面普及不停电作业在10千伏业扩配套项目、配网技改中的应用，不断提高业扩工程、中压配网大修、技改工程不停电接火比例。</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rPr>
        <w:t>不断扩充带电作业队伍，做好配电带电作业取证、复证工作安排，通过不断地工作实践和技能培训，提升带电作业水平。</w:t>
      </w: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按照“一引领，六优先，九结合”原则，加强停电计划管理，持续压减配网对外停电时间，按照月、周对配电检修计划进行平衡，经过检修平衡会研判，将满足条件的停电检修工作改为带电作业方式，从而减少停电次数，提高不停电作业化率。</w:t>
      </w:r>
    </w:p>
    <w:p>
      <w:pPr>
        <w:pStyle w:val="2"/>
        <w:ind w:firstLine="643"/>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pStyle w:val="2"/>
        <w:ind w:firstLine="640"/>
      </w:pPr>
      <w:r>
        <w:rPr>
          <w:rFonts w:hint="eastAsia" w:ascii="仿宋_GB2312" w:hAnsi="仿宋_GB2312" w:eastAsia="仿宋_GB2312" w:cs="仿宋_GB2312"/>
          <w:kern w:val="0"/>
          <w:sz w:val="32"/>
          <w:szCs w:val="32"/>
        </w:rPr>
        <w:t>(1)生产技术部负责监督方案中提升带电作业率相关工作的落实情况。（长期）</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4.落实可靠性财务威慑，增强客户感知</w:t>
      </w:r>
    </w:p>
    <w:p>
      <w:pPr>
        <w:suppressAutoHyphens/>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主要任务：</w:t>
      </w:r>
      <w:r>
        <w:rPr>
          <w:rFonts w:hint="eastAsia" w:ascii="仿宋_GB2312" w:hAnsi="仿宋_GB2312" w:eastAsia="仿宋_GB2312" w:cs="仿宋_GB2312"/>
          <w:b w:val="0"/>
          <w:bCs w:val="0"/>
          <w:kern w:val="0"/>
          <w:sz w:val="32"/>
          <w:szCs w:val="32"/>
          <w:lang w:eastAsia="zh-CN"/>
        </w:rPr>
        <w:t>落实</w:t>
      </w:r>
      <w:r>
        <w:rPr>
          <w:rFonts w:hint="eastAsia" w:ascii="仿宋_GB2312" w:hAnsi="仿宋_GB2312" w:eastAsia="仿宋_GB2312" w:cs="仿宋_GB2312"/>
          <w:kern w:val="0"/>
          <w:sz w:val="32"/>
          <w:szCs w:val="32"/>
        </w:rPr>
        <w:t>供电可靠性</w:t>
      </w:r>
      <w:r>
        <w:rPr>
          <w:rFonts w:hint="eastAsia" w:ascii="仿宋_GB2312" w:hAnsi="仿宋_GB2312" w:eastAsia="仿宋_GB2312" w:cs="仿宋_GB2312"/>
          <w:kern w:val="0"/>
          <w:sz w:val="32"/>
          <w:szCs w:val="32"/>
          <w:lang w:eastAsia="zh-CN"/>
        </w:rPr>
        <w:t>常态化监管</w:t>
      </w:r>
      <w:r>
        <w:rPr>
          <w:rFonts w:hint="eastAsia" w:ascii="仿宋_GB2312" w:hAnsi="仿宋_GB2312" w:eastAsia="仿宋_GB2312" w:cs="仿宋_GB2312"/>
          <w:kern w:val="0"/>
          <w:sz w:val="32"/>
          <w:szCs w:val="32"/>
        </w:rPr>
        <w:t>机制，通过政府主管部门</w:t>
      </w:r>
      <w:r>
        <w:rPr>
          <w:rFonts w:hint="eastAsia" w:ascii="仿宋_GB2312" w:hAnsi="仿宋_GB2312" w:eastAsia="仿宋_GB2312" w:cs="仿宋_GB2312"/>
          <w:kern w:val="0"/>
          <w:sz w:val="32"/>
          <w:szCs w:val="32"/>
          <w:lang w:eastAsia="zh-CN"/>
        </w:rPr>
        <w:t>财务</w:t>
      </w:r>
      <w:r>
        <w:rPr>
          <w:rFonts w:hint="eastAsia" w:ascii="仿宋_GB2312" w:hAnsi="仿宋_GB2312" w:eastAsia="仿宋_GB2312" w:cs="仿宋_GB2312"/>
          <w:kern w:val="0"/>
          <w:sz w:val="32"/>
          <w:szCs w:val="32"/>
        </w:rPr>
        <w:t>激励、处罚方式对</w:t>
      </w:r>
      <w:r>
        <w:rPr>
          <w:rFonts w:hint="eastAsia" w:ascii="仿宋_GB2312" w:hAnsi="仿宋_GB2312" w:eastAsia="仿宋_GB2312" w:cs="仿宋_GB2312"/>
          <w:kern w:val="0"/>
          <w:sz w:val="32"/>
          <w:szCs w:val="32"/>
          <w:lang w:eastAsia="zh-CN"/>
        </w:rPr>
        <w:t>供电</w:t>
      </w:r>
      <w:r>
        <w:rPr>
          <w:rFonts w:hint="eastAsia" w:ascii="仿宋_GB2312" w:hAnsi="仿宋_GB2312" w:eastAsia="仿宋_GB2312" w:cs="仿宋_GB2312"/>
          <w:kern w:val="0"/>
          <w:sz w:val="32"/>
          <w:szCs w:val="32"/>
        </w:rPr>
        <w:t>可靠性指标加以管控，进一步压减停电时长与频次。</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(1)生产技术部负责完善供电中断财务遏制机制，并指导监督完成年度供电可靠性指标。(长期)</w:t>
      </w:r>
    </w:p>
    <w:p>
      <w:pPr>
        <w:pStyle w:val="2"/>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5.提升自愈配电技术，增强故障修复能力</w:t>
      </w:r>
    </w:p>
    <w:p>
      <w:pPr>
        <w:suppressAutoHyphens/>
        <w:spacing w:line="600" w:lineRule="exact"/>
        <w:ind w:firstLine="619" w:firstLineChars="200"/>
        <w:rPr>
          <w:rFonts w:ascii="仿宋_GB2312" w:hAnsi="仿宋_GB2312" w:eastAsia="仿宋_GB2312" w:cs="仿宋_GB2312"/>
          <w:kern w:val="0"/>
          <w:sz w:val="32"/>
          <w:szCs w:val="32"/>
        </w:rPr>
      </w:pPr>
      <w:r>
        <w:rPr>
          <w:rFonts w:hint="eastAsia" w:ascii="仿宋_GB2312" w:hAnsi="仿宋_GB2312" w:eastAsia="仿宋_GB2312" w:cs="仿宋_GB2312"/>
          <w:b/>
          <w:bCs/>
          <w:spacing w:val="-6"/>
          <w:sz w:val="32"/>
          <w:szCs w:val="32"/>
        </w:rPr>
        <w:t>主要任务：一是</w:t>
      </w:r>
      <w:r>
        <w:rPr>
          <w:rFonts w:hint="eastAsia" w:ascii="仿宋_GB2312" w:hAnsi="仿宋_GB2312" w:eastAsia="仿宋_GB2312" w:cs="仿宋_GB2312"/>
          <w:kern w:val="0"/>
          <w:sz w:val="32"/>
          <w:szCs w:val="32"/>
        </w:rPr>
        <w:t>依据《“十四五”配电自动化建设技术路线》要求，辖区全部配电线路实现分支、分段智能断路器全覆盖，配电线路开关覆盖率提升至0.2台/公里。</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lang w:eastAsia="zh-CN"/>
        </w:rPr>
        <w:t>进一步完善</w:t>
      </w:r>
      <w:r>
        <w:rPr>
          <w:rFonts w:hint="eastAsia" w:ascii="仿宋_GB2312" w:hAnsi="仿宋_GB2312" w:eastAsia="仿宋_GB2312" w:cs="仿宋_GB2312"/>
          <w:kern w:val="0"/>
          <w:sz w:val="32"/>
          <w:szCs w:val="32"/>
        </w:rPr>
        <w:t>“智能监控+故障自愈”的配网供电指挥体系，在突破实施主站集中型秒级自愈的前提上，因线施策，编制配电线路“一线一案”自愈计划，积极</w:t>
      </w:r>
      <w:r>
        <w:rPr>
          <w:rFonts w:hint="eastAsia" w:ascii="仿宋_GB2312" w:hAnsi="仿宋_GB2312" w:eastAsia="仿宋_GB2312" w:cs="仿宋_GB2312"/>
          <w:kern w:val="0"/>
          <w:sz w:val="32"/>
          <w:szCs w:val="32"/>
          <w:lang w:eastAsia="zh-CN"/>
        </w:rPr>
        <w:t>拓展</w:t>
      </w:r>
      <w:r>
        <w:rPr>
          <w:rFonts w:hint="eastAsia" w:ascii="仿宋_GB2312" w:hAnsi="仿宋_GB2312" w:eastAsia="仿宋_GB2312" w:cs="仿宋_GB2312"/>
          <w:kern w:val="0"/>
          <w:sz w:val="32"/>
          <w:szCs w:val="32"/>
        </w:rPr>
        <w:t>主站集中型自愈和分布式自愈技术应用，力争每年投入自愈线路数量</w:t>
      </w:r>
      <w:r>
        <w:rPr>
          <w:rFonts w:hint="eastAsia" w:ascii="仿宋_GB2312" w:hAnsi="仿宋_GB2312" w:eastAsia="仿宋_GB2312" w:cs="仿宋_GB2312"/>
          <w:kern w:val="0"/>
          <w:sz w:val="32"/>
          <w:szCs w:val="32"/>
          <w:lang w:eastAsia="zh-CN"/>
        </w:rPr>
        <w:t>占比</w:t>
      </w:r>
      <w:r>
        <w:rPr>
          <w:rFonts w:hint="eastAsia" w:ascii="仿宋_GB2312" w:hAnsi="仿宋_GB2312" w:eastAsia="仿宋_GB2312" w:cs="仿宋_GB2312"/>
          <w:kern w:val="0"/>
          <w:sz w:val="32"/>
          <w:szCs w:val="32"/>
        </w:rPr>
        <w:t>实现同比增长100%以上，全力推进客户“获得电力”保障能力。</w:t>
      </w:r>
      <w:r>
        <w:rPr>
          <w:rFonts w:hint="eastAsia" w:ascii="仿宋_GB2312" w:hAnsi="仿宋_GB2312" w:eastAsia="仿宋_GB2312" w:cs="仿宋_GB2312"/>
          <w:b/>
          <w:bCs/>
          <w:kern w:val="0"/>
          <w:sz w:val="32"/>
          <w:szCs w:val="32"/>
        </w:rPr>
        <w:t>三是</w:t>
      </w:r>
      <w:r>
        <w:rPr>
          <w:rFonts w:hint="eastAsia" w:ascii="仿宋_GB2312" w:hAnsi="仿宋_GB2312" w:eastAsia="仿宋_GB2312" w:cs="仿宋_GB2312"/>
          <w:kern w:val="0"/>
          <w:sz w:val="32"/>
          <w:szCs w:val="32"/>
        </w:rPr>
        <w:t>提升应急处置抢修复电能力。完善“自主+外委”的应急体系，</w:t>
      </w:r>
      <w:r>
        <w:rPr>
          <w:rFonts w:hint="eastAsia" w:ascii="仿宋_GB2312" w:hAnsi="仿宋_GB2312" w:eastAsia="仿宋_GB2312" w:cs="仿宋_GB2312"/>
          <w:kern w:val="0"/>
          <w:sz w:val="32"/>
          <w:szCs w:val="32"/>
          <w:lang w:eastAsia="zh-CN"/>
        </w:rPr>
        <w:t>加强</w:t>
      </w:r>
      <w:r>
        <w:rPr>
          <w:rFonts w:hint="eastAsia" w:ascii="仿宋_GB2312" w:hAnsi="仿宋_GB2312" w:eastAsia="仿宋_GB2312" w:cs="仿宋_GB2312"/>
          <w:kern w:val="0"/>
          <w:sz w:val="32"/>
          <w:szCs w:val="32"/>
        </w:rPr>
        <w:t>区域协作、专业协同</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建立蒙西地区城市急抢修网格化体系，进一步优化业扩配套项目管理流程，确保抢修复电快速高效。</w:t>
      </w:r>
      <w:r>
        <w:rPr>
          <w:rFonts w:hint="eastAsia" w:ascii="仿宋_GB2312" w:hAnsi="仿宋_GB2312" w:eastAsia="仿宋_GB2312" w:cs="仿宋_GB2312"/>
          <w:b/>
          <w:bCs/>
          <w:kern w:val="0"/>
          <w:sz w:val="32"/>
          <w:szCs w:val="32"/>
        </w:rPr>
        <w:t>四是</w:t>
      </w:r>
      <w:r>
        <w:rPr>
          <w:rFonts w:hint="eastAsia" w:ascii="仿宋_GB2312" w:hAnsi="仿宋_GB2312" w:eastAsia="仿宋_GB2312" w:cs="仿宋_GB2312"/>
          <w:kern w:val="0"/>
          <w:sz w:val="32"/>
          <w:szCs w:val="32"/>
          <w:lang w:val="en-US" w:eastAsia="zh-CN"/>
        </w:rPr>
        <w:t>全面推动</w:t>
      </w:r>
      <w:r>
        <w:rPr>
          <w:rFonts w:hint="eastAsia" w:ascii="仿宋_GB2312" w:hAnsi="仿宋_GB2312" w:eastAsia="仿宋_GB2312" w:cs="仿宋_GB2312"/>
          <w:kern w:val="0"/>
          <w:sz w:val="32"/>
          <w:szCs w:val="32"/>
        </w:rPr>
        <w:t>配电新技术应用和数字化转型升级，高标准建设一批数字化线路、站房及配电台区，推进移动运检APP和远程定值校核技术应用，不断提升配电网智能化水平和感知能力。推动建立智能监控、状态检修、主动运维、故障自愈的配电网管理体系，全面提升客户用电可靠性。</w:t>
      </w:r>
    </w:p>
    <w:p>
      <w:pPr>
        <w:pStyle w:val="2"/>
        <w:ind w:firstLine="643"/>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pStyle w:val="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(1)生产技术部负责完善配网故障自愈管理和应急抢修体系建设，探索新技术应用和数字化转型升级，提升故障修复能力。（2023年8月）</w:t>
      </w:r>
    </w:p>
    <w:p>
      <w:pPr>
        <w:suppressAutoHyphens/>
        <w:spacing w:line="600" w:lineRule="exact"/>
        <w:ind w:firstLine="643" w:firstLineChars="200"/>
        <w:rPr>
          <w:rFonts w:hint="eastAsia" w:ascii="仿宋" w:hAnsi="仿宋" w:eastAsia="仿宋_GB2312"/>
          <w:highlight w:val="none"/>
          <w:lang w:eastAsia="zh-CN"/>
        </w:rPr>
      </w:pPr>
      <w:r>
        <w:rPr>
          <w:rFonts w:hint="eastAsia" w:ascii="仿宋_GB2312" w:hAnsi="仿宋_GB2312" w:eastAsia="仿宋_GB2312" w:cs="仿宋_GB2312"/>
          <w:b/>
          <w:bCs/>
          <w:sz w:val="32"/>
          <w:szCs w:val="32"/>
          <w:highlight w:val="none"/>
        </w:rPr>
        <w:t>(九)加强能源服务企业，塑强开放</w:t>
      </w:r>
      <w:r>
        <w:rPr>
          <w:rFonts w:hint="eastAsia" w:ascii="仿宋_GB2312" w:hAnsi="仿宋_GB2312" w:eastAsia="仿宋_GB2312" w:cs="仿宋_GB2312"/>
          <w:b/>
          <w:bCs/>
          <w:sz w:val="32"/>
          <w:szCs w:val="32"/>
          <w:highlight w:val="none"/>
          <w:lang w:eastAsia="zh-CN"/>
        </w:rPr>
        <w:t>企业</w:t>
      </w:r>
      <w:r>
        <w:rPr>
          <w:rFonts w:hint="eastAsia" w:ascii="仿宋_GB2312" w:hAnsi="仿宋_GB2312" w:eastAsia="仿宋_GB2312" w:cs="仿宋_GB2312"/>
          <w:b/>
          <w:bCs/>
          <w:sz w:val="32"/>
          <w:szCs w:val="32"/>
          <w:highlight w:val="none"/>
        </w:rPr>
        <w:t>形象</w:t>
      </w:r>
    </w:p>
    <w:p>
      <w:pPr>
        <w:tabs>
          <w:tab w:val="left" w:pos="993"/>
        </w:tabs>
        <w:suppressAutoHyphens/>
        <w:spacing w:line="600" w:lineRule="exact"/>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主要任务</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sz w:val="32"/>
          <w:szCs w:val="32"/>
          <w:highlight w:val="none"/>
        </w:rPr>
        <w:t>积极参与“一带一路”建设，倾力打造自治区向北开放电力桥头堡，持续助推中蒙两国电力基础设施互联互通，以优质的供电服务搭载起更多条绿色能源跨国通道，继续保持年跨国发行电量超10亿千瓦时的良好态势。</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sz w:val="32"/>
          <w:szCs w:val="32"/>
          <w:highlight w:val="none"/>
          <w:lang w:val="en-US" w:eastAsia="zh-CN"/>
        </w:rPr>
        <w:t>加强对220千伏国合开闭站的运维力度，不断提升国合开闭站全站一二次设备运行的可靠性，保障了对蒙能源输出通道畅通。</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numPr>
          <w:ilvl w:val="0"/>
          <w:numId w:val="0"/>
        </w:numPr>
        <w:suppressAutoHyphen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营销服务部负责跟踪、监督中蒙供电项目优质服务落实情况。(长期)</w:t>
      </w:r>
    </w:p>
    <w:p>
      <w:pPr>
        <w:numPr>
          <w:ilvl w:val="0"/>
          <w:numId w:val="0"/>
        </w:numPr>
        <w:suppressAutoHyphens/>
        <w:spacing w:line="600" w:lineRule="exact"/>
        <w:ind w:firstLine="640" w:firstLineChars="200"/>
      </w:pPr>
      <w:r>
        <w:rPr>
          <w:rFonts w:hint="eastAsia" w:ascii="仿宋_GB2312" w:hAnsi="仿宋_GB2312" w:eastAsia="仿宋_GB2312" w:cs="仿宋_GB2312"/>
          <w:sz w:val="32"/>
          <w:szCs w:val="32"/>
          <w:lang w:val="en-US" w:eastAsia="zh-CN"/>
        </w:rPr>
        <w:t>(2)生产技术</w:t>
      </w:r>
      <w:r>
        <w:rPr>
          <w:rFonts w:hint="eastAsia" w:ascii="仿宋_GB2312" w:hAnsi="仿宋_GB2312" w:eastAsia="仿宋_GB2312" w:cs="仿宋_GB2312"/>
          <w:sz w:val="32"/>
          <w:szCs w:val="32"/>
        </w:rPr>
        <w:t>部负责</w:t>
      </w:r>
      <w:r>
        <w:rPr>
          <w:rFonts w:hint="eastAsia" w:ascii="仿宋_GB2312" w:hAnsi="仿宋_GB2312" w:eastAsia="仿宋_GB2312" w:cs="仿宋_GB2312"/>
          <w:sz w:val="32"/>
          <w:szCs w:val="32"/>
          <w:lang w:val="en-US" w:eastAsia="zh-CN"/>
        </w:rPr>
        <w:t>保障对蒙供电可靠性</w:t>
      </w:r>
      <w:r>
        <w:rPr>
          <w:rFonts w:hint="eastAsia" w:ascii="仿宋_GB2312" w:hAnsi="仿宋_GB2312" w:eastAsia="仿宋_GB2312" w:cs="仿宋_GB2312"/>
          <w:sz w:val="32"/>
          <w:szCs w:val="32"/>
        </w:rPr>
        <w:t>。(长期)</w:t>
      </w:r>
    </w:p>
    <w:p>
      <w:pPr>
        <w:suppressAutoHyphens/>
        <w:spacing w:line="600" w:lineRule="exact"/>
        <w:ind w:firstLine="643" w:firstLineChars="200"/>
        <w:outlineLvl w:val="2"/>
        <w:rPr>
          <w:rFonts w:ascii="仿宋_GB2312" w:hAnsi="仿宋_GB2312" w:eastAsia="仿宋_GB2312" w:cs="仿宋_GB2312"/>
          <w:b/>
          <w:bCs/>
          <w:sz w:val="32"/>
          <w:szCs w:val="32"/>
        </w:rPr>
      </w:pPr>
      <w:bookmarkStart w:id="29" w:name="_Toc7579_WPSOffice_Level2"/>
      <w:bookmarkStart w:id="30" w:name="_Toc23069_WPSOffice_Level2"/>
      <w:r>
        <w:rPr>
          <w:rFonts w:hint="eastAsia" w:ascii="仿宋_GB2312" w:hAnsi="仿宋_GB2312" w:eastAsia="仿宋_GB2312" w:cs="仿宋_GB2312"/>
          <w:b/>
          <w:bCs/>
          <w:sz w:val="32"/>
          <w:szCs w:val="32"/>
        </w:rPr>
        <w:t>(十)</w:t>
      </w:r>
      <w:bookmarkEnd w:id="29"/>
      <w:bookmarkEnd w:id="30"/>
      <w:r>
        <w:rPr>
          <w:rFonts w:hint="eastAsia" w:ascii="仿宋_GB2312" w:hAnsi="仿宋_GB2312" w:eastAsia="仿宋_GB2312" w:cs="仿宋_GB2312"/>
          <w:b/>
          <w:bCs/>
          <w:sz w:val="32"/>
          <w:szCs w:val="32"/>
        </w:rPr>
        <w:t>推动能源绿色转型，打造智慧低碳电网</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1.推进并网接入规范，促进能源转型</w:t>
      </w:r>
    </w:p>
    <w:p>
      <w:pPr>
        <w:suppressAutoHyphens/>
        <w:spacing w:line="600" w:lineRule="exact"/>
        <w:ind w:firstLine="643" w:firstLineChars="200"/>
        <w:outlineLvl w:val="2"/>
        <w:rPr>
          <w:rFonts w:ascii="仿宋_GB2312" w:eastAsia="仿宋_GB2312"/>
          <w:sz w:val="32"/>
        </w:rPr>
      </w:pPr>
      <w:r>
        <w:rPr>
          <w:rFonts w:hint="eastAsia" w:ascii="仿宋_GB2312" w:hAnsi="仿宋_GB2312" w:eastAsia="仿宋_GB2312" w:cs="仿宋_GB2312"/>
          <w:b/>
          <w:bCs/>
          <w:sz w:val="32"/>
          <w:szCs w:val="32"/>
        </w:rPr>
        <w:t>主要任务：一是</w:t>
      </w:r>
      <w:r>
        <w:rPr>
          <w:rFonts w:hint="eastAsia" w:ascii="仿宋_GB2312" w:eastAsia="仿宋_GB2312"/>
          <w:sz w:val="32"/>
        </w:rPr>
        <w:t>优化新能源项目并网管理流程，积极提供六类市场化并网新能源项目申报技术支持</w:t>
      </w:r>
      <w:r>
        <w:rPr>
          <w:rFonts w:hint="eastAsia" w:ascii="仿宋_GB2312" w:eastAsia="仿宋_GB2312"/>
          <w:b/>
          <w:bCs/>
          <w:sz w:val="32"/>
          <w:lang w:eastAsia="zh-CN"/>
        </w:rPr>
        <w:t>，</w:t>
      </w:r>
      <w:r>
        <w:rPr>
          <w:rFonts w:hint="eastAsia" w:ascii="仿宋_GB2312" w:eastAsia="仿宋_GB2312"/>
          <w:sz w:val="32"/>
          <w:lang w:eastAsia="zh-CN"/>
        </w:rPr>
        <w:t>加强</w:t>
      </w:r>
      <w:r>
        <w:rPr>
          <w:rFonts w:hint="eastAsia" w:ascii="仿宋_GB2312" w:eastAsia="仿宋_GB2312"/>
          <w:sz w:val="32"/>
        </w:rPr>
        <w:t>六类市场化消纳新能源项目接入系统技术规定</w:t>
      </w:r>
      <w:r>
        <w:rPr>
          <w:rFonts w:hint="eastAsia" w:ascii="仿宋_GB2312" w:eastAsia="仿宋_GB2312"/>
          <w:sz w:val="32"/>
          <w:lang w:eastAsia="zh-CN"/>
        </w:rPr>
        <w:t>及相关政策的宣贯解读工作</w:t>
      </w:r>
      <w:r>
        <w:rPr>
          <w:rFonts w:hint="eastAsia" w:ascii="仿宋_GB2312" w:eastAsia="仿宋_GB2312"/>
          <w:sz w:val="32"/>
        </w:rPr>
        <w:t>，</w:t>
      </w:r>
      <w:r>
        <w:rPr>
          <w:rFonts w:hint="eastAsia" w:ascii="仿宋_GB2312" w:eastAsia="仿宋_GB2312"/>
          <w:sz w:val="32"/>
          <w:lang w:eastAsia="zh-CN"/>
        </w:rPr>
        <w:t>保障</w:t>
      </w:r>
      <w:r>
        <w:rPr>
          <w:rFonts w:hint="eastAsia" w:ascii="仿宋_GB2312" w:eastAsia="仿宋_GB2312"/>
          <w:sz w:val="32"/>
        </w:rPr>
        <w:t>新能源项目</w:t>
      </w:r>
      <w:r>
        <w:rPr>
          <w:rFonts w:hint="eastAsia" w:ascii="仿宋_GB2312" w:eastAsia="仿宋_GB2312"/>
          <w:sz w:val="32"/>
          <w:lang w:eastAsia="zh-CN"/>
        </w:rPr>
        <w:t>按期并网</w:t>
      </w:r>
      <w:r>
        <w:rPr>
          <w:rFonts w:hint="eastAsia" w:ascii="仿宋_GB2312" w:eastAsia="仿宋_GB2312"/>
          <w:sz w:val="32"/>
        </w:rPr>
        <w:t>。</w:t>
      </w:r>
      <w:r>
        <w:rPr>
          <w:rFonts w:hint="eastAsia" w:ascii="仿宋_GB2312" w:eastAsia="仿宋_GB2312"/>
          <w:b/>
          <w:bCs/>
          <w:sz w:val="32"/>
          <w:lang w:eastAsia="zh-CN"/>
        </w:rPr>
        <w:t>二</w:t>
      </w:r>
      <w:r>
        <w:rPr>
          <w:rFonts w:hint="eastAsia" w:ascii="仿宋_GB2312" w:eastAsia="仿宋_GB2312"/>
          <w:b/>
          <w:bCs/>
          <w:sz w:val="32"/>
        </w:rPr>
        <w:t>是</w:t>
      </w:r>
      <w:r>
        <w:rPr>
          <w:rFonts w:hint="eastAsia" w:ascii="仿宋_GB2312" w:eastAsia="仿宋_GB2312"/>
          <w:sz w:val="32"/>
        </w:rPr>
        <w:t>开通新能源项目电网投资绿色通道，</w:t>
      </w:r>
      <w:r>
        <w:rPr>
          <w:rFonts w:hint="eastAsia" w:ascii="仿宋_GB2312" w:eastAsia="仿宋_GB2312"/>
          <w:sz w:val="32"/>
          <w:lang w:eastAsia="zh-CN"/>
        </w:rPr>
        <w:t>对符合条件</w:t>
      </w:r>
      <w:r>
        <w:rPr>
          <w:rFonts w:hint="eastAsia" w:ascii="仿宋_GB2312" w:eastAsia="仿宋_GB2312"/>
          <w:sz w:val="32"/>
        </w:rPr>
        <w:t>的即时申请应急投资</w:t>
      </w:r>
      <w:r>
        <w:rPr>
          <w:rFonts w:hint="eastAsia" w:ascii="仿宋_GB2312" w:eastAsia="仿宋_GB2312"/>
          <w:sz w:val="32"/>
          <w:lang w:eastAsia="zh-CN"/>
        </w:rPr>
        <w:t>，减少客户投资成本，加快引导项目落地。</w:t>
      </w:r>
      <w:r>
        <w:rPr>
          <w:rFonts w:hint="eastAsia" w:ascii="仿宋_GB2312" w:eastAsia="仿宋_GB2312"/>
          <w:b/>
          <w:bCs/>
          <w:sz w:val="32"/>
          <w:lang w:eastAsia="zh-CN"/>
        </w:rPr>
        <w:t>三</w:t>
      </w:r>
      <w:r>
        <w:rPr>
          <w:rFonts w:hint="eastAsia" w:ascii="仿宋_GB2312" w:eastAsia="仿宋_GB2312"/>
          <w:b/>
          <w:bCs/>
          <w:sz w:val="32"/>
        </w:rPr>
        <w:t>是</w:t>
      </w:r>
      <w:r>
        <w:rPr>
          <w:rFonts w:hint="eastAsia" w:ascii="仿宋_GB2312" w:hAnsi="仿宋_GB2312" w:eastAsia="仿宋_GB2312" w:cs="仿宋_GB2312"/>
          <w:kern w:val="1"/>
          <w:sz w:val="32"/>
          <w:szCs w:val="32"/>
        </w:rPr>
        <w:t>加快以新能源为主体的新型电力系统建设，保障支撑能源电力安全供应，推动电力系统更好支持大规模高比例新能源并网和消纳。</w:t>
      </w:r>
      <w:r>
        <w:rPr>
          <w:rFonts w:hint="eastAsia" w:ascii="仿宋_GB2312" w:eastAsia="仿宋_GB2312"/>
          <w:sz w:val="32"/>
        </w:rPr>
        <w:t>以坚强智能电网为方向，高质量开展电网规划及修编工作，积极推动网架建设，满足地区新能源接入送出的需求。</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(1)计划发展部负责电网规划修编、新能源项目并网管理流程优化、政策解读指导工作。(长期)</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2.全力支持产业基础，打造数字能源</w:t>
      </w:r>
    </w:p>
    <w:p>
      <w:pPr>
        <w:suppressAutoHyphens/>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sz w:val="32"/>
          <w:szCs w:val="32"/>
          <w:lang w:eastAsia="zh-CN"/>
        </w:rPr>
        <w:t>持续优化</w:t>
      </w:r>
      <w:r>
        <w:rPr>
          <w:rFonts w:hint="eastAsia" w:ascii="仿宋_GB2312" w:hAnsi="仿宋_GB2312" w:eastAsia="仿宋_GB2312" w:cs="仿宋_GB2312"/>
          <w:sz w:val="32"/>
          <w:szCs w:val="32"/>
        </w:rPr>
        <w:t>巴彦淖尔市5G基站</w:t>
      </w:r>
      <w:r>
        <w:rPr>
          <w:rFonts w:hint="eastAsia" w:ascii="仿宋_GB2312" w:hAnsi="仿宋_GB2312" w:eastAsia="仿宋_GB2312" w:cs="仿宋_GB2312"/>
          <w:sz w:val="32"/>
          <w:szCs w:val="32"/>
          <w:lang w:eastAsia="zh-CN"/>
        </w:rPr>
        <w:t>接入流程，</w:t>
      </w:r>
      <w:r>
        <w:rPr>
          <w:rFonts w:hint="eastAsia" w:ascii="仿宋_GB2312" w:hAnsi="仿宋_GB2312" w:eastAsia="仿宋_GB2312" w:cs="仿宋_GB2312"/>
          <w:sz w:val="32"/>
          <w:szCs w:val="32"/>
          <w:lang w:val="en-US" w:eastAsia="zh-CN"/>
        </w:rPr>
        <w:t>在取消</w:t>
      </w:r>
      <w:r>
        <w:rPr>
          <w:rFonts w:hint="eastAsia" w:ascii="仿宋_GB2312" w:hAnsi="仿宋_GB2312" w:eastAsia="仿宋_GB2312" w:cs="仿宋_GB2312"/>
          <w:sz w:val="32"/>
          <w:szCs w:val="32"/>
        </w:rPr>
        <w:t xml:space="preserve"> 5G 基站建设项目产权证明</w:t>
      </w:r>
      <w:r>
        <w:rPr>
          <w:rFonts w:hint="eastAsia" w:ascii="仿宋_GB2312" w:hAnsi="仿宋_GB2312" w:eastAsia="仿宋_GB2312" w:cs="仿宋_GB2312"/>
          <w:sz w:val="32"/>
          <w:szCs w:val="32"/>
          <w:lang w:eastAsia="zh-CN"/>
        </w:rPr>
        <w:t>的基</w:t>
      </w:r>
      <w:r>
        <w:rPr>
          <w:rFonts w:hint="eastAsia" w:ascii="仿宋_GB2312" w:hAnsi="仿宋_GB2312" w:eastAsia="仿宋_GB2312" w:cs="仿宋_GB2312"/>
          <w:sz w:val="32"/>
          <w:szCs w:val="32"/>
          <w:highlight w:val="none"/>
          <w:lang w:eastAsia="zh-CN"/>
        </w:rPr>
        <w:t>础上，进一步前移服务界面，</w:t>
      </w:r>
      <w:r>
        <w:rPr>
          <w:rFonts w:hint="eastAsia" w:ascii="仿宋_GB2312" w:hAnsi="仿宋_GB2312" w:eastAsia="仿宋_GB2312" w:cs="仿宋_GB2312"/>
          <w:sz w:val="32"/>
          <w:szCs w:val="32"/>
          <w:highlight w:val="none"/>
          <w:lang w:val="en-US" w:eastAsia="zh-CN"/>
        </w:rPr>
        <w:t>在</w:t>
      </w:r>
      <w:r>
        <w:rPr>
          <w:rFonts w:hint="eastAsia" w:ascii="仿宋_GB2312" w:hAnsi="仿宋_GB2312" w:eastAsia="仿宋_GB2312" w:cs="仿宋_GB2312"/>
          <w:sz w:val="32"/>
          <w:szCs w:val="32"/>
          <w:highlight w:val="none"/>
        </w:rPr>
        <w:t>5G</w:t>
      </w:r>
      <w:r>
        <w:rPr>
          <w:rFonts w:hint="eastAsia" w:ascii="仿宋_GB2312" w:hAnsi="仿宋_GB2312" w:eastAsia="仿宋_GB2312" w:cs="仿宋_GB2312"/>
          <w:sz w:val="32"/>
          <w:szCs w:val="32"/>
          <w:highlight w:val="none"/>
          <w:lang w:eastAsia="zh-CN"/>
        </w:rPr>
        <w:t>建设项目规划阶段</w:t>
      </w:r>
      <w:r>
        <w:rPr>
          <w:rFonts w:hint="eastAsia" w:ascii="仿宋_GB2312" w:hAnsi="仿宋_GB2312" w:eastAsia="仿宋_GB2312" w:cs="仿宋_GB2312"/>
          <w:sz w:val="32"/>
          <w:szCs w:val="32"/>
          <w:highlight w:val="none"/>
          <w:lang w:val="en-US" w:eastAsia="zh-CN"/>
        </w:rPr>
        <w:t>，主动服务了解项目用电需求，包括用电负荷、预计接电时间等，提前进行电网规划</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确保项目“即来即接”</w:t>
      </w:r>
      <w:r>
        <w:rPr>
          <w:rFonts w:hint="eastAsia" w:ascii="仿宋_GB2312" w:hAnsi="仿宋_GB2312" w:eastAsia="仿宋_GB2312" w:cs="仿宋_GB2312"/>
          <w:sz w:val="32"/>
          <w:szCs w:val="32"/>
          <w:highlight w:val="none"/>
        </w:rPr>
        <w:t>严</w:t>
      </w:r>
      <w:r>
        <w:rPr>
          <w:rFonts w:hint="eastAsia" w:ascii="仿宋_GB2312" w:hAnsi="仿宋_GB2312" w:eastAsia="仿宋_GB2312" w:cs="仿宋_GB2312"/>
          <w:sz w:val="32"/>
          <w:szCs w:val="32"/>
        </w:rPr>
        <w:t>格落实5G电价优惠政策，助力5G健康发展。</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职责分工：</w:t>
      </w:r>
    </w:p>
    <w:p>
      <w:pPr>
        <w:numPr>
          <w:ilvl w:val="0"/>
          <w:numId w:val="4"/>
        </w:num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营销服务部负责监督5G优质服务举措的落实情况。（长期）</w:t>
      </w:r>
    </w:p>
    <w:p>
      <w:pPr>
        <w:pStyle w:val="2"/>
        <w:ind w:firstLine="0" w:firstLineChars="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（十一）顺应市场化改革，参与交易绿色转型</w:t>
      </w:r>
    </w:p>
    <w:p>
      <w:pPr>
        <w:suppressAutoHyphens/>
        <w:spacing w:line="600" w:lineRule="exact"/>
        <w:ind w:firstLine="643" w:firstLineChars="200"/>
        <w:rPr>
          <w:rFonts w:ascii="仿宋_GB2312" w:hAnsi="仿宋_GB2312" w:eastAsia="仿宋_GB2312" w:cs="仿宋_GB2312"/>
          <w:kern w:val="0"/>
          <w:sz w:val="32"/>
          <w:szCs w:val="32"/>
        </w:rPr>
      </w:pPr>
      <w:r>
        <w:rPr>
          <w:rFonts w:ascii="仿宋_GB2312" w:hAnsi="仿宋_GB2312" w:eastAsia="仿宋_GB2312" w:cs="仿宋_GB2312"/>
          <w:b/>
          <w:bCs/>
          <w:kern w:val="0"/>
          <w:sz w:val="32"/>
          <w:szCs w:val="32"/>
        </w:rPr>
        <w:t>主要任务：</w:t>
      </w:r>
      <w:r>
        <w:rPr>
          <w:rFonts w:hint="eastAsia" w:ascii="仿宋_GB2312" w:hAnsi="仿宋_GB2312" w:eastAsia="仿宋_GB2312" w:cs="仿宋_GB2312"/>
          <w:b/>
          <w:bCs/>
          <w:kern w:val="0"/>
          <w:sz w:val="32"/>
          <w:szCs w:val="32"/>
        </w:rPr>
        <w:t>一</w:t>
      </w:r>
      <w:r>
        <w:rPr>
          <w:rFonts w:ascii="仿宋_GB2312" w:hAnsi="仿宋_GB2312" w:eastAsia="仿宋_GB2312" w:cs="仿宋_GB2312"/>
          <w:b/>
          <w:bCs/>
          <w:kern w:val="0"/>
          <w:sz w:val="32"/>
          <w:szCs w:val="32"/>
        </w:rPr>
        <w:t>是</w:t>
      </w:r>
      <w:r>
        <w:rPr>
          <w:rFonts w:hint="eastAsia" w:ascii="仿宋_GB2312" w:hAnsi="仿宋_GB2312" w:eastAsia="仿宋_GB2312" w:cs="仿宋_GB2312"/>
          <w:kern w:val="0"/>
          <w:sz w:val="32"/>
          <w:szCs w:val="32"/>
        </w:rPr>
        <w:t>配合</w:t>
      </w:r>
      <w:r>
        <w:rPr>
          <w:rFonts w:ascii="仿宋_GB2312" w:hAnsi="仿宋_GB2312" w:eastAsia="仿宋_GB2312" w:cs="仿宋_GB2312"/>
          <w:kern w:val="0"/>
          <w:sz w:val="32"/>
          <w:szCs w:val="32"/>
        </w:rPr>
        <w:t>政府主管部门优化电力现货市场下的需求侧响应获益机制，持续优化业务流程，提升负荷侧灵活调节能力，保障地区供电可靠稳定。</w:t>
      </w:r>
      <w:r>
        <w:rPr>
          <w:rFonts w:hint="eastAsia" w:ascii="仿宋_GB2312" w:hAnsi="仿宋_GB2312" w:eastAsia="仿宋_GB2312" w:cs="仿宋_GB2312"/>
          <w:b/>
          <w:bCs/>
          <w:kern w:val="0"/>
          <w:sz w:val="32"/>
          <w:szCs w:val="32"/>
        </w:rPr>
        <w:t>二</w:t>
      </w:r>
      <w:r>
        <w:rPr>
          <w:rFonts w:ascii="仿宋_GB2312" w:hAnsi="仿宋_GB2312" w:eastAsia="仿宋_GB2312" w:cs="仿宋_GB2312"/>
          <w:b/>
          <w:bCs/>
          <w:kern w:val="0"/>
          <w:sz w:val="32"/>
          <w:szCs w:val="32"/>
        </w:rPr>
        <w:t>是</w:t>
      </w:r>
      <w:r>
        <w:rPr>
          <w:rFonts w:ascii="仿宋_GB2312" w:hAnsi="仿宋_GB2312" w:eastAsia="仿宋_GB2312" w:cs="仿宋_GB2312"/>
          <w:kern w:val="0"/>
          <w:sz w:val="32"/>
          <w:szCs w:val="32"/>
        </w:rPr>
        <w:t>建立“政府+发电企业</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电网</w:t>
      </w:r>
      <w:r>
        <w:rPr>
          <w:rFonts w:hint="eastAsia" w:ascii="仿宋_GB2312" w:hAnsi="仿宋_GB2312" w:eastAsia="仿宋_GB2312" w:cs="仿宋_GB2312"/>
          <w:kern w:val="0"/>
          <w:sz w:val="32"/>
          <w:szCs w:val="32"/>
        </w:rPr>
        <w:t>企业</w:t>
      </w:r>
      <w:r>
        <w:rPr>
          <w:rFonts w:ascii="仿宋_GB2312" w:hAnsi="仿宋_GB2312" w:eastAsia="仿宋_GB2312" w:cs="仿宋_GB2312"/>
          <w:kern w:val="0"/>
          <w:sz w:val="32"/>
          <w:szCs w:val="32"/>
        </w:rPr>
        <w:t>+客户”四方协作机制，依托市场化手段和交易政策，引导电厂错峰检修、客户避峰用电，实现需求响应多元互补、灵活调配。</w:t>
      </w:r>
      <w:r>
        <w:rPr>
          <w:rFonts w:hint="eastAsia" w:ascii="仿宋_GB2312" w:hAnsi="仿宋_GB2312" w:eastAsia="仿宋_GB2312" w:cs="仿宋_GB2312"/>
          <w:b/>
          <w:bCs/>
          <w:kern w:val="0"/>
          <w:sz w:val="32"/>
          <w:szCs w:val="32"/>
        </w:rPr>
        <w:t>三</w:t>
      </w:r>
      <w:r>
        <w:rPr>
          <w:rFonts w:ascii="仿宋_GB2312" w:hAnsi="仿宋_GB2312" w:eastAsia="仿宋_GB2312" w:cs="仿宋_GB2312"/>
          <w:b/>
          <w:bCs/>
          <w:kern w:val="0"/>
          <w:sz w:val="32"/>
          <w:szCs w:val="32"/>
        </w:rPr>
        <w:t>是</w:t>
      </w:r>
      <w:r>
        <w:rPr>
          <w:rFonts w:ascii="仿宋_GB2312" w:hAnsi="仿宋_GB2312" w:eastAsia="仿宋_GB2312" w:cs="仿宋_GB2312"/>
          <w:kern w:val="0"/>
          <w:sz w:val="32"/>
          <w:szCs w:val="32"/>
        </w:rPr>
        <w:t>充分利用信息网络、新闻媒体等多种形式，加强政策宣传与解析，做好</w:t>
      </w:r>
      <w:r>
        <w:rPr>
          <w:rFonts w:hint="eastAsia" w:ascii="仿宋_GB2312" w:hAnsi="仿宋_GB2312" w:eastAsia="仿宋_GB2312" w:cs="仿宋_GB2312"/>
          <w:kern w:val="0"/>
          <w:sz w:val="32"/>
          <w:szCs w:val="32"/>
          <w:lang w:eastAsia="zh-CN"/>
        </w:rPr>
        <w:t>市场化交易</w:t>
      </w:r>
      <w:r>
        <w:rPr>
          <w:rFonts w:ascii="仿宋_GB2312" w:hAnsi="仿宋_GB2312" w:eastAsia="仿宋_GB2312" w:cs="仿宋_GB2312"/>
          <w:kern w:val="0"/>
          <w:sz w:val="32"/>
          <w:szCs w:val="32"/>
        </w:rPr>
        <w:t>措施、政策的解释宣传工作，以及需求侧响应收益等情况公示，加大信息公开透明度，提高社会对需求侧响应工作的认知度、参与度。</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职责分工：</w:t>
      </w:r>
    </w:p>
    <w:p>
      <w:pPr>
        <w:suppressAutoHyphens/>
        <w:spacing w:line="600" w:lineRule="exact"/>
        <w:ind w:firstLine="640" w:firstLineChars="200"/>
      </w:pPr>
      <w:r>
        <w:rPr>
          <w:rFonts w:hint="eastAsia" w:ascii="仿宋_GB2312" w:hAnsi="仿宋_GB2312" w:eastAsia="仿宋_GB2312" w:cs="仿宋_GB2312"/>
          <w:sz w:val="32"/>
          <w:szCs w:val="32"/>
        </w:rPr>
        <w:t>(1)营销服务部负责协调政府主管部门完善电力现货市场的需求侧响应管理、建立四方协作机制，做好政策宣贯工作。（长期）</w:t>
      </w:r>
    </w:p>
    <w:p>
      <w:pPr>
        <w:suppressAutoHyphens/>
        <w:spacing w:line="600" w:lineRule="exact"/>
        <w:ind w:firstLine="619" w:firstLineChars="200"/>
        <w:rPr>
          <w:rFonts w:ascii="楷体_GB2312" w:hAnsi="仿宋_GB2312" w:eastAsia="楷体_GB2312" w:cs="Times New Roman"/>
          <w:b/>
          <w:bCs/>
          <w:spacing w:val="-6"/>
          <w:sz w:val="32"/>
          <w:szCs w:val="32"/>
        </w:rPr>
      </w:pPr>
      <w:bookmarkStart w:id="31" w:name="_Toc4021_WPSOffice_Level2"/>
      <w:bookmarkStart w:id="32" w:name="_Toc32199_WPSOffice_Level2"/>
      <w:r>
        <w:rPr>
          <w:rFonts w:hint="eastAsia" w:ascii="仿宋_GB2312" w:hAnsi="仿宋_GB2312" w:eastAsia="仿宋_GB2312" w:cs="仿宋_GB2312"/>
          <w:b/>
          <w:bCs/>
          <w:spacing w:val="-6"/>
          <w:sz w:val="32"/>
          <w:szCs w:val="32"/>
        </w:rPr>
        <w:t>(十二)</w:t>
      </w:r>
      <w:bookmarkEnd w:id="31"/>
      <w:bookmarkEnd w:id="32"/>
      <w:r>
        <w:rPr>
          <w:rFonts w:hint="eastAsia" w:ascii="仿宋_GB2312" w:hAnsi="仿宋_GB2312" w:eastAsia="仿宋_GB2312" w:cs="仿宋_GB2312"/>
          <w:b/>
          <w:bCs/>
          <w:spacing w:val="-6"/>
          <w:sz w:val="32"/>
          <w:szCs w:val="32"/>
        </w:rPr>
        <w:t>打造用能新格局，助力绿色用能发展</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1.提升供电+能效服务，助力低碳转型</w:t>
      </w:r>
    </w:p>
    <w:p>
      <w:pPr>
        <w:suppressAutoHyphens/>
        <w:spacing w:line="600" w:lineRule="exact"/>
        <w:ind w:firstLine="643" w:firstLineChars="200"/>
        <w:rPr>
          <w:rFonts w:ascii="仿宋_GB2312" w:hAnsi="仿宋_GB2312" w:eastAsia="仿宋_GB2312" w:cs="仿宋_GB2312"/>
          <w:kern w:val="1"/>
          <w:sz w:val="32"/>
          <w:szCs w:val="32"/>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kern w:val="1"/>
          <w:sz w:val="32"/>
          <w:szCs w:val="32"/>
        </w:rPr>
        <w:t>加强客户设备治理，保障客户侧安全。</w:t>
      </w:r>
      <w:r>
        <w:rPr>
          <w:rFonts w:hint="eastAsia" w:ascii="仿宋_GB2312" w:hAnsi="仿宋_GB2312" w:eastAsia="仿宋_GB2312" w:cs="仿宋_GB2312"/>
          <w:b/>
          <w:bCs/>
          <w:kern w:val="1"/>
          <w:sz w:val="32"/>
          <w:szCs w:val="32"/>
        </w:rPr>
        <w:t>一是</w:t>
      </w:r>
      <w:r>
        <w:rPr>
          <w:rFonts w:hint="eastAsia" w:ascii="仿宋_GB2312" w:hAnsi="仿宋_GB2312" w:eastAsia="仿宋_GB2312" w:cs="仿宋_GB2312"/>
          <w:kern w:val="1"/>
          <w:sz w:val="32"/>
          <w:szCs w:val="32"/>
        </w:rPr>
        <w:t>常态化开展安全检查。抽调技术骨干，成立用电检查专家组，建立技术帮扶机制，指导客户开展现场专项检查，以点带面提升客户侧隐患治理水平。</w:t>
      </w:r>
      <w:r>
        <w:rPr>
          <w:rFonts w:hint="eastAsia" w:ascii="仿宋_GB2312" w:hAnsi="仿宋_GB2312" w:eastAsia="仿宋_GB2312" w:cs="仿宋_GB2312"/>
          <w:b/>
          <w:bCs/>
          <w:kern w:val="1"/>
          <w:sz w:val="32"/>
          <w:szCs w:val="32"/>
        </w:rPr>
        <w:t>二是</w:t>
      </w:r>
      <w:r>
        <w:rPr>
          <w:rFonts w:hint="eastAsia" w:ascii="仿宋_GB2312" w:hAnsi="仿宋_GB2312" w:eastAsia="仿宋_GB2312" w:cs="仿宋_GB2312"/>
          <w:kern w:val="1"/>
          <w:sz w:val="32"/>
          <w:szCs w:val="32"/>
        </w:rPr>
        <w:t>联合市发改委、工信局等主管部门固化客户侧安全检查机制，督导客户侧安全隐患立行立改，减少不安全事件次数，持续提升客户侧安全水平。分批推广应用“看门狗”技术，严控因客户侧原因导致越级跳闸事件发生。</w:t>
      </w:r>
      <w:r>
        <w:rPr>
          <w:rFonts w:hint="eastAsia" w:ascii="仿宋_GB2312" w:hAnsi="仿宋_GB2312" w:eastAsia="仿宋_GB2312" w:cs="仿宋_GB2312"/>
          <w:b/>
          <w:bCs/>
          <w:kern w:val="1"/>
          <w:sz w:val="32"/>
          <w:szCs w:val="32"/>
        </w:rPr>
        <w:t>三是</w:t>
      </w:r>
      <w:r>
        <w:rPr>
          <w:rFonts w:hint="eastAsia" w:ascii="仿宋_GB2312" w:hAnsi="仿宋_GB2312" w:eastAsia="仿宋_GB2312" w:cs="仿宋_GB2312"/>
          <w:kern w:val="1"/>
          <w:sz w:val="32"/>
          <w:szCs w:val="32"/>
        </w:rPr>
        <w:t>积极发展“新能源+储能”</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对企业客户，统筹实施电能替代、综合能源和需求响应，提供定制化用能解决方案，免费提供设备体检等安全用电服务和节能咨询服务</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帮助客户提升用能效率。</w:t>
      </w:r>
    </w:p>
    <w:p>
      <w:pPr>
        <w:suppressAutoHyphens/>
        <w:spacing w:line="600" w:lineRule="exact"/>
        <w:ind w:firstLine="643" w:firstLineChars="200"/>
        <w:rPr>
          <w:rFonts w:ascii="仿宋_GB2312" w:hAnsi="仿宋_GB2312" w:eastAsia="仿宋_GB2312" w:cs="仿宋_GB2312"/>
          <w:b/>
          <w:bCs/>
          <w:kern w:val="0"/>
          <w:sz w:val="32"/>
          <w:szCs w:val="32"/>
        </w:rPr>
      </w:pPr>
      <w:bookmarkStart w:id="33" w:name="_Hlk57242460"/>
      <w:r>
        <w:rPr>
          <w:rFonts w:hint="eastAsia" w:ascii="仿宋_GB2312" w:hAnsi="仿宋_GB2312" w:eastAsia="仿宋_GB2312" w:cs="仿宋_GB2312"/>
          <w:b/>
          <w:bCs/>
          <w:kern w:val="0"/>
          <w:sz w:val="32"/>
          <w:szCs w:val="32"/>
        </w:rPr>
        <w:t>职责分工：</w:t>
      </w:r>
    </w:p>
    <w:bookmarkEnd w:id="33"/>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(1)营销服务部负责监督客户侧常态化检查工作落实情况，组织建立联合政府主管部门对客户侧进行安全检查机制，指导做好电能替代、综合能源和需求响应服务。(长期)</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(2)计划发展部负责网架结构优化，支持大规模高比例新能源并网和消纳。(2022年6月)</w:t>
      </w:r>
    </w:p>
    <w:p>
      <w:pPr>
        <w:suppressAutoHyphens/>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2.加强充电桩基础建设，助力绿色出行</w:t>
      </w:r>
    </w:p>
    <w:p>
      <w:pPr>
        <w:suppressAutoHyphens/>
        <w:spacing w:line="600" w:lineRule="exact"/>
        <w:ind w:firstLine="643"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rPr>
        <w:t>主要任务：</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rPr>
        <w:t>结合城市建设规划，积极推进充电基础设施配套电网建设。</w:t>
      </w:r>
      <w:r>
        <w:rPr>
          <w:rFonts w:hint="eastAsia" w:ascii="仿宋_GB2312" w:hAnsi="仿宋_GB2312" w:eastAsia="仿宋_GB2312" w:cs="仿宋_GB2312"/>
          <w:sz w:val="32"/>
          <w:szCs w:val="32"/>
          <w:highlight w:val="none"/>
          <w:lang w:eastAsia="zh-CN"/>
        </w:rPr>
        <w:t>严格</w:t>
      </w:r>
      <w:r>
        <w:rPr>
          <w:rFonts w:hint="eastAsia" w:ascii="仿宋_GB2312" w:hAnsi="仿宋_GB2312" w:eastAsia="仿宋_GB2312" w:cs="仿宋_GB2312"/>
          <w:sz w:val="32"/>
          <w:szCs w:val="32"/>
          <w:highlight w:val="none"/>
          <w:lang w:val="en-US" w:eastAsia="zh-CN"/>
        </w:rPr>
        <w:t>贯彻落实</w:t>
      </w:r>
      <w:r>
        <w:rPr>
          <w:rFonts w:hint="eastAsia" w:ascii="仿宋_GB2312" w:hAnsi="仿宋_GB2312" w:eastAsia="仿宋_GB2312" w:cs="仿宋_GB2312"/>
          <w:sz w:val="32"/>
          <w:szCs w:val="32"/>
          <w:highlight w:val="none"/>
          <w:lang w:eastAsia="zh-CN"/>
        </w:rPr>
        <w:t>自治区</w:t>
      </w:r>
      <w:r>
        <w:rPr>
          <w:rFonts w:hint="eastAsia" w:ascii="仿宋_GB2312" w:hAnsi="仿宋_GB2312" w:eastAsia="仿宋_GB2312" w:cs="仿宋_GB2312"/>
          <w:sz w:val="32"/>
          <w:szCs w:val="32"/>
          <w:highlight w:val="none"/>
          <w:lang w:val="en-US" w:eastAsia="zh-CN"/>
        </w:rPr>
        <w:t>充电基础设施“十四五”规划及</w:t>
      </w:r>
      <w:r>
        <w:rPr>
          <w:rFonts w:hint="eastAsia" w:ascii="仿宋_GB2312" w:hAnsi="仿宋_GB2312" w:eastAsia="仿宋_GB2312" w:cs="仿宋_GB2312"/>
          <w:sz w:val="32"/>
          <w:szCs w:val="32"/>
          <w:highlight w:val="none"/>
          <w:lang w:eastAsia="zh-CN"/>
        </w:rPr>
        <w:t>加快充换电基础设施建设</w:t>
      </w:r>
      <w:r>
        <w:rPr>
          <w:rFonts w:hint="eastAsia" w:ascii="仿宋_GB2312" w:hAnsi="仿宋_GB2312" w:eastAsia="仿宋_GB2312" w:cs="仿宋_GB2312"/>
          <w:sz w:val="32"/>
          <w:szCs w:val="32"/>
          <w:highlight w:val="none"/>
          <w:lang w:val="en-US" w:eastAsia="zh-CN"/>
        </w:rPr>
        <w:t>相关文件精神</w:t>
      </w:r>
      <w:r>
        <w:rPr>
          <w:rFonts w:hint="eastAsia" w:ascii="仿宋_GB2312" w:hAnsi="仿宋_GB2312" w:eastAsia="仿宋_GB2312" w:cs="仿宋_GB2312"/>
          <w:sz w:val="32"/>
          <w:szCs w:val="32"/>
          <w:highlight w:val="none"/>
          <w:lang w:eastAsia="zh-CN"/>
        </w:rPr>
        <w:t>，编制集团公司《新建</w:t>
      </w:r>
      <w:r>
        <w:rPr>
          <w:rFonts w:hint="eastAsia" w:ascii="仿宋_GB2312" w:hAnsi="仿宋_GB2312" w:eastAsia="仿宋_GB2312" w:cs="仿宋_GB2312"/>
          <w:sz w:val="32"/>
          <w:szCs w:val="32"/>
          <w:highlight w:val="none"/>
          <w:lang w:val="en-US" w:eastAsia="zh-CN"/>
        </w:rPr>
        <w:t>居住区供配电设施技术导则</w:t>
      </w:r>
      <w:r>
        <w:rPr>
          <w:rFonts w:hint="eastAsia" w:ascii="仿宋_GB2312" w:hAnsi="仿宋_GB2312" w:eastAsia="仿宋_GB2312" w:cs="仿宋_GB2312"/>
          <w:sz w:val="32"/>
          <w:szCs w:val="32"/>
          <w:highlight w:val="none"/>
          <w:lang w:eastAsia="zh-CN"/>
        </w:rPr>
        <w:t>》，保证</w:t>
      </w:r>
      <w:r>
        <w:rPr>
          <w:rFonts w:hint="eastAsia" w:ascii="仿宋_GB2312" w:hAnsi="仿宋_GB2312" w:eastAsia="仿宋_GB2312" w:cs="仿宋_GB2312"/>
          <w:sz w:val="32"/>
          <w:szCs w:val="32"/>
          <w:highlight w:val="none"/>
        </w:rPr>
        <w:t>新建</w:t>
      </w:r>
      <w:r>
        <w:rPr>
          <w:rFonts w:hint="eastAsia" w:ascii="仿宋_GB2312" w:hAnsi="仿宋_GB2312" w:eastAsia="仿宋_GB2312" w:cs="仿宋_GB2312"/>
          <w:sz w:val="32"/>
          <w:szCs w:val="32"/>
          <w:highlight w:val="none"/>
          <w:lang w:eastAsia="zh-CN"/>
        </w:rPr>
        <w:t>居住小区</w:t>
      </w:r>
      <w:r>
        <w:rPr>
          <w:rFonts w:hint="eastAsia" w:ascii="仿宋_GB2312" w:hAnsi="仿宋_GB2312" w:eastAsia="仿宋_GB2312" w:cs="仿宋_GB2312"/>
          <w:sz w:val="32"/>
          <w:szCs w:val="32"/>
          <w:highlight w:val="none"/>
        </w:rPr>
        <w:t>固定车位100%预留充电设施安装条件和配电设施增容空间，与主体建筑同步设计、施工、验收</w:t>
      </w:r>
      <w:r>
        <w:rPr>
          <w:rFonts w:hint="eastAsia" w:ascii="仿宋_GB2312" w:hAnsi="仿宋_GB2312" w:eastAsia="仿宋_GB2312" w:cs="仿宋_GB2312"/>
          <w:sz w:val="32"/>
          <w:szCs w:val="32"/>
          <w:highlight w:val="none"/>
          <w:lang w:eastAsia="zh-CN"/>
        </w:rPr>
        <w:t>，老旧小区可结合城镇老旧小区改造，对具备条件的小区增加停车位、建设充电桩。</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sz w:val="32"/>
          <w:szCs w:val="32"/>
          <w:highlight w:val="none"/>
        </w:rPr>
        <w:t>积极对</w:t>
      </w:r>
      <w:r>
        <w:rPr>
          <w:rFonts w:hint="eastAsia" w:ascii="仿宋_GB2312" w:hAnsi="仿宋_GB2312" w:eastAsia="仿宋_GB2312" w:cs="仿宋_GB2312"/>
          <w:sz w:val="32"/>
          <w:szCs w:val="32"/>
        </w:rPr>
        <w:t>接住建主管部门，建立充电桩报装相关政策法规及建设标准，引导充电桩负荷有序接入。同时推进居住区充电设施用电报装快速响应</w:t>
      </w:r>
      <w:r>
        <w:rPr>
          <w:rFonts w:hint="eastAsia" w:ascii="仿宋_GB2312" w:hAnsi="仿宋_GB2312" w:eastAsia="仿宋_GB2312" w:cs="仿宋_GB2312"/>
          <w:sz w:val="32"/>
          <w:szCs w:val="32"/>
          <w:lang w:eastAsia="zh-CN"/>
        </w:rPr>
        <w:t>。推行充电桩报装专属服务，简化报装手续</w:t>
      </w:r>
      <w:r>
        <w:rPr>
          <w:rFonts w:hint="eastAsia" w:ascii="仿宋_GB2312" w:hAnsi="仿宋_GB2312" w:eastAsia="仿宋_GB2312" w:cs="仿宋_GB2312"/>
          <w:sz w:val="32"/>
          <w:szCs w:val="32"/>
        </w:rPr>
        <w:t>，与物业公司、新能源汽车销售公司建立合作关系，</w:t>
      </w:r>
      <w:r>
        <w:rPr>
          <w:rFonts w:hint="eastAsia" w:ascii="仿宋_GB2312" w:hAnsi="仿宋_GB2312" w:eastAsia="仿宋_GB2312" w:cs="仿宋_GB2312"/>
          <w:sz w:val="32"/>
          <w:szCs w:val="32"/>
          <w:lang w:eastAsia="zh-CN"/>
        </w:rPr>
        <w:t>共享报装资料，</w:t>
      </w:r>
      <w:r>
        <w:rPr>
          <w:rFonts w:hint="eastAsia" w:ascii="仿宋_GB2312" w:hAnsi="仿宋_GB2312" w:eastAsia="仿宋_GB2312" w:cs="仿宋_GB2312"/>
          <w:sz w:val="32"/>
          <w:szCs w:val="32"/>
        </w:rPr>
        <w:t>无需客户</w:t>
      </w:r>
      <w:r>
        <w:rPr>
          <w:rFonts w:hint="eastAsia" w:ascii="仿宋_GB2312" w:hAnsi="仿宋_GB2312" w:eastAsia="仿宋_GB2312" w:cs="仿宋_GB2312"/>
          <w:sz w:val="32"/>
          <w:szCs w:val="32"/>
          <w:lang w:eastAsia="zh-CN"/>
        </w:rPr>
        <w:t>重复提供</w:t>
      </w:r>
      <w:r>
        <w:rPr>
          <w:rFonts w:hint="eastAsia" w:ascii="仿宋_GB2312" w:hAnsi="仿宋_GB2312" w:eastAsia="仿宋_GB2312" w:cs="仿宋_GB2312"/>
          <w:sz w:val="32"/>
          <w:szCs w:val="32"/>
        </w:rPr>
        <w:t>，实现</w:t>
      </w:r>
      <w:r>
        <w:rPr>
          <w:rFonts w:hint="eastAsia" w:ascii="仿宋_GB2312" w:hAnsi="仿宋_GB2312" w:eastAsia="仿宋_GB2312" w:cs="仿宋_GB2312"/>
          <w:sz w:val="32"/>
          <w:szCs w:val="32"/>
          <w:lang w:eastAsia="zh-CN"/>
        </w:rPr>
        <w:t>充电桩“无感”报装</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b/>
          <w:bCs/>
          <w:sz w:val="32"/>
          <w:szCs w:val="32"/>
          <w:highlight w:val="none"/>
          <w:lang w:val="en-US" w:eastAsia="zh-CN"/>
        </w:rPr>
        <w:t>加强</w:t>
      </w:r>
      <w:r>
        <w:rPr>
          <w:rFonts w:hint="eastAsia" w:ascii="仿宋_GB2312" w:hAnsi="仿宋_GB2312" w:eastAsia="仿宋_GB2312" w:cs="仿宋_GB2312"/>
          <w:sz w:val="32"/>
          <w:szCs w:val="32"/>
          <w:highlight w:val="none"/>
        </w:rPr>
        <w:t>公路服务区</w:t>
      </w:r>
      <w:r>
        <w:rPr>
          <w:rFonts w:hint="eastAsia" w:ascii="仿宋_GB2312" w:hAnsi="仿宋_GB2312" w:eastAsia="仿宋_GB2312" w:cs="仿宋_GB2312"/>
          <w:sz w:val="32"/>
          <w:szCs w:val="32"/>
          <w:highlight w:val="none"/>
          <w:lang w:eastAsia="zh-CN"/>
        </w:rPr>
        <w:t>、公共停车场、</w:t>
      </w:r>
      <w:r>
        <w:rPr>
          <w:rFonts w:hint="default" w:ascii="仿宋_GB2312" w:hAnsi="仿宋_GB2312" w:eastAsia="仿宋_GB2312" w:cs="仿宋_GB2312"/>
          <w:sz w:val="32"/>
          <w:szCs w:val="32"/>
          <w:highlight w:val="none"/>
          <w:lang w:eastAsia="zh-CN"/>
        </w:rPr>
        <w:t>农村牧区</w:t>
      </w:r>
      <w:r>
        <w:rPr>
          <w:rFonts w:hint="eastAsia" w:ascii="仿宋_GB2312" w:hAnsi="仿宋_GB2312" w:eastAsia="仿宋_GB2312" w:cs="仿宋_GB2312"/>
          <w:sz w:val="32"/>
          <w:szCs w:val="32"/>
          <w:highlight w:val="none"/>
          <w:lang w:eastAsia="zh-CN"/>
        </w:rPr>
        <w:t>、</w:t>
      </w:r>
      <w:r>
        <w:rPr>
          <w:rFonts w:hint="default" w:ascii="仿宋_GB2312" w:hAnsi="仿宋_GB2312" w:eastAsia="仿宋_GB2312" w:cs="仿宋_GB2312"/>
          <w:sz w:val="32"/>
          <w:szCs w:val="32"/>
          <w:highlight w:val="none"/>
          <w:lang w:eastAsia="zh-CN"/>
        </w:rPr>
        <w:t>旅游景区</w:t>
      </w:r>
      <w:r>
        <w:rPr>
          <w:rFonts w:hint="eastAsia" w:ascii="仿宋_GB2312" w:hAnsi="仿宋_GB2312" w:eastAsia="仿宋_GB2312" w:cs="仿宋_GB2312"/>
          <w:sz w:val="32"/>
          <w:szCs w:val="32"/>
          <w:highlight w:val="none"/>
          <w:lang w:eastAsia="zh-CN"/>
        </w:rPr>
        <w:t>、</w:t>
      </w:r>
      <w:r>
        <w:rPr>
          <w:rFonts w:hint="default" w:ascii="仿宋_GB2312" w:hAnsi="仿宋_GB2312" w:eastAsia="仿宋_GB2312" w:cs="仿宋_GB2312"/>
          <w:sz w:val="32"/>
          <w:szCs w:val="32"/>
          <w:highlight w:val="none"/>
          <w:lang w:eastAsia="zh-CN"/>
        </w:rPr>
        <w:t>工业园区、矿区、物流园区等场所</w:t>
      </w:r>
      <w:r>
        <w:rPr>
          <w:rFonts w:hint="eastAsia" w:ascii="仿宋_GB2312" w:hAnsi="仿宋_GB2312" w:eastAsia="仿宋_GB2312" w:cs="仿宋_GB2312"/>
          <w:sz w:val="32"/>
          <w:szCs w:val="32"/>
          <w:highlight w:val="none"/>
          <w:lang w:val="en-US" w:eastAsia="zh-CN"/>
        </w:rPr>
        <w:t>充换电基础设施</w:t>
      </w:r>
      <w:r>
        <w:rPr>
          <w:rFonts w:hint="eastAsia" w:ascii="仿宋_GB2312" w:hAnsi="仿宋_GB2312" w:eastAsia="仿宋_GB2312" w:cs="仿宋_GB2312"/>
          <w:sz w:val="32"/>
          <w:szCs w:val="32"/>
          <w:highlight w:val="none"/>
        </w:rPr>
        <w:t>配套电网改造</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，做好充电设施供电服务保障</w:t>
      </w:r>
      <w:r>
        <w:rPr>
          <w:rFonts w:hint="eastAsia" w:ascii="仿宋_GB2312" w:hAnsi="仿宋_GB2312" w:eastAsia="仿宋_GB2312" w:cs="仿宋_GB2312"/>
          <w:sz w:val="32"/>
          <w:szCs w:val="32"/>
          <w:highlight w:val="none"/>
          <w:lang w:eastAsia="zh-CN"/>
        </w:rPr>
        <w:t>，加快自营充电桩建设，</w:t>
      </w:r>
      <w:r>
        <w:rPr>
          <w:rFonts w:hint="eastAsia" w:ascii="仿宋_GB2312" w:hAnsi="仿宋_GB2312" w:eastAsia="仿宋_GB2312" w:cs="仿宋_GB2312"/>
          <w:sz w:val="32"/>
          <w:szCs w:val="32"/>
          <w:highlight w:val="none"/>
          <w:lang w:val="en-US" w:eastAsia="zh-CN"/>
        </w:rPr>
        <w:t>2023年底至少建设400个充电桩。</w:t>
      </w:r>
      <w:r>
        <w:rPr>
          <w:rFonts w:hint="eastAsia" w:ascii="仿宋_GB2312" w:hAnsi="仿宋_GB2312" w:eastAsia="仿宋_GB2312" w:cs="仿宋_GB2312"/>
          <w:b/>
          <w:bCs/>
          <w:sz w:val="32"/>
          <w:szCs w:val="32"/>
          <w:highlight w:val="none"/>
          <w:lang w:val="en-US" w:eastAsia="zh-CN"/>
        </w:rPr>
        <w:t>四是</w:t>
      </w:r>
      <w:r>
        <w:rPr>
          <w:rFonts w:hint="eastAsia" w:ascii="仿宋_GB2312" w:hAnsi="仿宋_GB2312" w:eastAsia="仿宋_GB2312" w:cs="仿宋_GB2312"/>
          <w:sz w:val="32"/>
          <w:szCs w:val="32"/>
          <w:highlight w:val="none"/>
          <w:lang w:val="en-US" w:eastAsia="zh-CN"/>
        </w:rPr>
        <w:t>建设全市充换电设施网络平台，逐步推进新能源汽车及各类充换电设施在云端互联互通、信息共享。整合各运营商平台信息资源，实时掌握充换电设施点位布局、运营状态、服务能力等信息，为行业运营和政府监管提供智能便捷服务。</w:t>
      </w:r>
    </w:p>
    <w:p>
      <w:pPr>
        <w:suppressAutoHyphens/>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职责分工：</w:t>
      </w:r>
    </w:p>
    <w:p>
      <w:pPr>
        <w:suppressAutoHyphens/>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(1)营销服务部负责协调推进充电桩用户报装接入规范(2023年7月)。</w:t>
      </w:r>
    </w:p>
    <w:p>
      <w:pPr>
        <w:suppressAutoHyphens/>
        <w:spacing w:line="6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(2)计划发展部负责充电桩接入配套电网规划工作。(2023年7月)</w:t>
      </w:r>
    </w:p>
    <w:p>
      <w:pPr>
        <w:pStyle w:val="3"/>
        <w:keepNext w:val="0"/>
        <w:keepLines w:val="0"/>
        <w:spacing w:before="0" w:after="0" w:line="600" w:lineRule="exact"/>
        <w:ind w:firstLine="321" w:firstLineChars="100"/>
        <w:rPr>
          <w:rFonts w:ascii="黑体" w:hAnsi="黑体" w:eastAsia="黑体" w:cs="仿宋_GB2312"/>
          <w:bCs/>
          <w:sz w:val="32"/>
          <w:szCs w:val="32"/>
        </w:rPr>
      </w:pPr>
      <w:bookmarkStart w:id="34" w:name="_Toc31588"/>
      <w:bookmarkStart w:id="35" w:name="_Toc18818"/>
      <w:bookmarkStart w:id="36" w:name="_Toc30344"/>
      <w:r>
        <w:rPr>
          <w:rFonts w:hint="eastAsia" w:ascii="黑体" w:hAnsi="黑体" w:eastAsia="黑体" w:cs="仿宋_GB2312"/>
          <w:bCs/>
          <w:sz w:val="32"/>
          <w:szCs w:val="32"/>
        </w:rPr>
        <w:t>四、工作要求</w:t>
      </w:r>
      <w:bookmarkEnd w:id="34"/>
      <w:bookmarkEnd w:id="35"/>
      <w:bookmarkEnd w:id="36"/>
    </w:p>
    <w:p>
      <w:pPr>
        <w:pStyle w:val="4"/>
        <w:keepNext w:val="0"/>
        <w:keepLines w:val="0"/>
        <w:spacing w:before="0" w:after="0" w:line="600" w:lineRule="exact"/>
        <w:ind w:firstLine="643" w:firstLineChars="200"/>
        <w:rPr>
          <w:rFonts w:ascii="仿宋_GB2312" w:hAnsi="仿宋_GB2312" w:eastAsia="仿宋_GB2312" w:cs="仿宋_GB2312"/>
          <w:szCs w:val="32"/>
        </w:rPr>
      </w:pPr>
      <w:r>
        <w:rPr>
          <w:rFonts w:hint="eastAsia" w:ascii="仿宋_GB2312" w:hAnsi="仿宋_GB2312" w:eastAsia="仿宋_GB2312" w:cs="仿宋_GB2312"/>
          <w:szCs w:val="32"/>
        </w:rPr>
        <w:t>（一）强化组织协同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各单位要高度重视，充分认识优化营商环境的重要意义，明确责任分工，明确工作目标，破除专业壁垒和障碍，强化协作意识，确保各项工作要求执行到位，取得实效。</w:t>
      </w:r>
      <w:bookmarkStart w:id="37" w:name="_Toc22422"/>
      <w:bookmarkStart w:id="38" w:name="_Toc17223"/>
      <w:bookmarkStart w:id="39" w:name="_Toc32545"/>
    </w:p>
    <w:bookmarkEnd w:id="37"/>
    <w:bookmarkEnd w:id="38"/>
    <w:bookmarkEnd w:id="39"/>
    <w:p>
      <w:pPr>
        <w:pStyle w:val="5"/>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ascii="仿宋_GB2312" w:hAnsi="仿宋_GB2312" w:eastAsia="仿宋_GB2312" w:cs="仿宋_GB2312"/>
          <w:bCs/>
          <w:kern w:val="0"/>
          <w:szCs w:val="32"/>
        </w:rPr>
      </w:pPr>
      <w:bookmarkStart w:id="40" w:name="_Toc29891"/>
      <w:bookmarkStart w:id="41" w:name="_Toc21044"/>
      <w:bookmarkStart w:id="42" w:name="_Toc20021"/>
      <w:bookmarkStart w:id="43" w:name="_Toc26222"/>
      <w:r>
        <w:rPr>
          <w:rFonts w:hint="eastAsia" w:ascii="仿宋_GB2312" w:hAnsi="仿宋_GB2312" w:eastAsia="仿宋_GB2312" w:cs="仿宋_GB2312"/>
          <w:bCs/>
          <w:kern w:val="0"/>
          <w:szCs w:val="32"/>
        </w:rPr>
        <w:t>(二)</w:t>
      </w:r>
      <w:r>
        <w:rPr>
          <w:rFonts w:hint="eastAsia" w:ascii="楷体_GB2312" w:hAnsi="楷体_GB2312" w:eastAsia="楷体_GB2312" w:cs="楷体_GB2312"/>
          <w:bCs/>
          <w:szCs w:val="32"/>
        </w:rPr>
        <w:t>加强制度建设，提升服务效能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eastAsia="仿宋_GB2312"/>
        </w:rPr>
      </w:pPr>
      <w:r>
        <w:rPr>
          <w:rFonts w:hint="eastAsia" w:ascii="仿宋_GB2312" w:eastAsia="仿宋_GB2312" w:cs="仿宋_GB2312"/>
          <w:sz w:val="32"/>
          <w:szCs w:val="32"/>
        </w:rPr>
        <w:t>各部门要按照优化营商环境工作的整体要求和时间安排，针对方案举措，及时修订、完善出台相应的配套制度和文件，更新相应的标准流程，确保各项制度与优化用电营商环境政策的有效衔接</w:t>
      </w:r>
      <w:r>
        <w:rPr>
          <w:rFonts w:hint="eastAsia" w:ascii="仿宋_GB2312" w:hAnsi="仿宋_GB2312" w:eastAsia="仿宋_GB2312" w:cs="仿宋_GB2312"/>
          <w:kern w:val="0"/>
          <w:sz w:val="32"/>
          <w:szCs w:val="32"/>
        </w:rPr>
        <w:t>。</w:t>
      </w:r>
    </w:p>
    <w:p>
      <w:pPr>
        <w:pStyle w:val="5"/>
        <w:keepNext w:val="0"/>
        <w:keepLines w:val="0"/>
        <w:spacing w:before="0" w:after="0" w:line="600" w:lineRule="exact"/>
        <w:ind w:firstLine="643" w:firstLineChars="200"/>
        <w:rPr>
          <w:rFonts w:ascii="仿宋_GB2312" w:hAnsi="仿宋_GB2312" w:eastAsia="仿宋_GB2312" w:cs="仿宋_GB2312"/>
          <w:bCs/>
          <w:kern w:val="0"/>
          <w:szCs w:val="32"/>
        </w:rPr>
      </w:pPr>
      <w:r>
        <w:rPr>
          <w:rFonts w:hint="eastAsia" w:ascii="仿宋_GB2312" w:hAnsi="仿宋_GB2312" w:eastAsia="仿宋_GB2312" w:cs="仿宋_GB2312"/>
          <w:bCs/>
          <w:kern w:val="0"/>
          <w:szCs w:val="32"/>
        </w:rPr>
        <w:t>（三）加</w:t>
      </w:r>
      <w:bookmarkEnd w:id="40"/>
      <w:bookmarkEnd w:id="41"/>
      <w:bookmarkEnd w:id="42"/>
      <w:bookmarkEnd w:id="43"/>
      <w:r>
        <w:rPr>
          <w:rFonts w:hint="eastAsia" w:ascii="仿宋_GB2312" w:hAnsi="仿宋_GB2312" w:eastAsia="仿宋_GB2312" w:cs="仿宋_GB2312"/>
          <w:bCs/>
          <w:kern w:val="0"/>
          <w:szCs w:val="32"/>
        </w:rPr>
        <w:t>大宣传引导</w:t>
      </w:r>
    </w:p>
    <w:p>
      <w:pPr>
        <w:pStyle w:val="22"/>
        <w:tabs>
          <w:tab w:val="left" w:pos="993"/>
        </w:tabs>
        <w:spacing w:line="60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部门要多措并举，全面推进方案要求有效落地，及时宣传优化电力营商环境工作进展，定期总结提炼优化电力营商环境改革创新成效，持续推广典型经验和制度成果，加强先进典型的正面宣传，发挥榜样示范作用，达到良好宣传实效。</w:t>
      </w:r>
    </w:p>
    <w:p>
      <w:pPr>
        <w:pStyle w:val="2"/>
        <w:ind w:left="0" w:leftChars="0" w:firstLine="0" w:firstLineChars="0"/>
        <w:rPr>
          <w:rFonts w:eastAsia="仿宋_GB2312"/>
        </w:rPr>
      </w:pPr>
    </w:p>
    <w:p>
      <w:pPr>
        <w:rPr>
          <w:rFonts w:eastAsia="仿宋_GB2312"/>
        </w:rPr>
      </w:pPr>
    </w:p>
    <w:p>
      <w:pPr>
        <w:pStyle w:val="2"/>
        <w:rPr>
          <w:rFonts w:eastAsia="仿宋_GB2312"/>
        </w:rPr>
      </w:pPr>
    </w:p>
    <w:p>
      <w:pPr>
        <w:rPr>
          <w:rFonts w:eastAsia="仿宋_GB2312"/>
        </w:rPr>
      </w:pPr>
    </w:p>
    <w:p>
      <w:pPr>
        <w:pStyle w:val="2"/>
        <w:rPr>
          <w:rFonts w:eastAsia="仿宋_GB2312"/>
        </w:rPr>
      </w:pPr>
    </w:p>
    <w:p>
      <w:pPr>
        <w:rPr>
          <w:rFonts w:eastAsia="仿宋_GB2312"/>
        </w:rPr>
        <w:sectPr>
          <w:footerReference r:id="rId3" w:type="default"/>
          <w:pgSz w:w="11906" w:h="16838"/>
          <w:pgMar w:top="1655" w:right="1468" w:bottom="1684" w:left="1338" w:header="0" w:footer="0" w:gutter="0"/>
          <w:cols w:space="720" w:num="1"/>
        </w:sectPr>
      </w:pPr>
    </w:p>
    <w:p>
      <w:pPr>
        <w:rPr>
          <w:rFonts w:eastAsia="仿宋_GB2312"/>
        </w:rPr>
      </w:pPr>
    </w:p>
    <w:p>
      <w:pPr>
        <w:rPr>
          <w:rFonts w:eastAsia="仿宋_GB2312"/>
        </w:rPr>
      </w:pPr>
    </w:p>
    <w:p>
      <w:pPr>
        <w:pStyle w:val="2"/>
        <w:rPr>
          <w:rFonts w:eastAsia="仿宋_GB2312"/>
        </w:rPr>
      </w:pPr>
    </w:p>
    <w:p>
      <w:pPr>
        <w:rPr>
          <w:rFonts w:hint="eastAsia" w:ascii="黑体" w:hAnsi="黑体" w:eastAsia="黑体" w:cs="黑体"/>
        </w:rPr>
      </w:pPr>
    </w:p>
    <w:p>
      <w:pPr>
        <w:spacing w:before="192" w:line="222" w:lineRule="auto"/>
        <w:ind w:left="195"/>
        <w:rPr>
          <w:rFonts w:hint="eastAsia" w:ascii="黑体" w:hAnsi="黑体" w:eastAsia="黑体" w:cs="黑体"/>
          <w:sz w:val="59"/>
          <w:szCs w:val="59"/>
        </w:rPr>
      </w:pPr>
      <w:r>
        <w:rPr>
          <w:rFonts w:hint="eastAsia" w:ascii="黑体" w:hAnsi="黑体" w:eastAsia="黑体" w:cs="黑体"/>
          <w:color w:val="3E3B7F"/>
          <w:spacing w:val="32"/>
          <w:sz w:val="59"/>
          <w:szCs w:val="59"/>
        </w:rPr>
        <w:t>附件1:</w:t>
      </w:r>
    </w:p>
    <w:p>
      <w:pPr>
        <w:spacing w:line="291" w:lineRule="auto"/>
        <w:rPr>
          <w:rFonts w:hint="eastAsia" w:ascii="黑体" w:hAnsi="黑体" w:eastAsia="黑体" w:cs="黑体"/>
          <w:sz w:val="21"/>
        </w:rPr>
      </w:pPr>
    </w:p>
    <w:p>
      <w:pPr>
        <w:spacing w:before="192" w:line="221" w:lineRule="auto"/>
        <w:ind w:left="9128"/>
        <w:rPr>
          <w:rFonts w:ascii="黑体" w:hAnsi="黑体" w:eastAsia="黑体" w:cs="黑体"/>
          <w:sz w:val="59"/>
          <w:szCs w:val="59"/>
        </w:rPr>
      </w:pPr>
      <w:r>
        <w:rPr>
          <w:rFonts w:ascii="黑体" w:hAnsi="黑体" w:eastAsia="黑体" w:cs="黑体"/>
          <w:b/>
          <w:bCs/>
          <w:spacing w:val="9"/>
          <w:sz w:val="59"/>
          <w:szCs w:val="59"/>
        </w:rPr>
        <w:t>低压居民流程及时限规定调整情况表</w:t>
      </w:r>
    </w:p>
    <w:p>
      <w:pPr>
        <w:spacing w:line="165" w:lineRule="exact"/>
      </w:pPr>
    </w:p>
    <w:tbl>
      <w:tblPr>
        <w:tblStyle w:val="28"/>
        <w:tblW w:w="26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65"/>
        <w:gridCol w:w="5057"/>
        <w:gridCol w:w="3149"/>
        <w:gridCol w:w="7201"/>
        <w:gridCol w:w="3997"/>
        <w:gridCol w:w="35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0" w:hRule="atLeast"/>
        </w:trPr>
        <w:tc>
          <w:tcPr>
            <w:tcW w:w="3465" w:type="dxa"/>
            <w:vAlign w:val="top"/>
          </w:tcPr>
          <w:p>
            <w:pPr>
              <w:spacing w:line="467" w:lineRule="auto"/>
              <w:rPr>
                <w:rFonts w:ascii="Arial"/>
                <w:sz w:val="21"/>
              </w:rPr>
            </w:pPr>
          </w:p>
          <w:p>
            <w:pPr>
              <w:spacing w:before="175" w:line="221" w:lineRule="auto"/>
              <w:ind w:left="650"/>
              <w:rPr>
                <w:rFonts w:ascii="宋体" w:hAnsi="宋体" w:eastAsia="宋体" w:cs="宋体"/>
                <w:sz w:val="54"/>
                <w:szCs w:val="54"/>
              </w:rPr>
            </w:pPr>
            <w:r>
              <w:rPr>
                <w:rFonts w:ascii="宋体" w:hAnsi="宋体" w:eastAsia="宋体" w:cs="宋体"/>
                <w:b/>
                <w:bCs/>
                <w:spacing w:val="-1"/>
                <w:sz w:val="54"/>
                <w:szCs w:val="54"/>
              </w:rPr>
              <w:t>环节名称</w:t>
            </w:r>
          </w:p>
        </w:tc>
        <w:tc>
          <w:tcPr>
            <w:tcW w:w="5057" w:type="dxa"/>
            <w:vAlign w:val="top"/>
          </w:tcPr>
          <w:p>
            <w:pPr>
              <w:spacing w:line="467" w:lineRule="auto"/>
              <w:rPr>
                <w:rFonts w:ascii="Arial"/>
                <w:sz w:val="21"/>
              </w:rPr>
            </w:pPr>
          </w:p>
          <w:p>
            <w:pPr>
              <w:spacing w:before="175" w:line="221" w:lineRule="auto"/>
              <w:ind w:left="1291"/>
              <w:rPr>
                <w:rFonts w:ascii="宋体" w:hAnsi="宋体" w:eastAsia="宋体" w:cs="宋体"/>
                <w:sz w:val="54"/>
                <w:szCs w:val="54"/>
              </w:rPr>
            </w:pPr>
            <w:r>
              <w:rPr>
                <w:rFonts w:ascii="宋体" w:hAnsi="宋体" w:eastAsia="宋体" w:cs="宋体"/>
                <w:b/>
                <w:bCs/>
                <w:spacing w:val="-1"/>
                <w:sz w:val="54"/>
                <w:szCs w:val="54"/>
              </w:rPr>
              <w:t>节点名称</w:t>
            </w:r>
          </w:p>
        </w:tc>
        <w:tc>
          <w:tcPr>
            <w:tcW w:w="3149" w:type="dxa"/>
            <w:vAlign w:val="top"/>
          </w:tcPr>
          <w:p>
            <w:pPr>
              <w:spacing w:line="467" w:lineRule="auto"/>
              <w:rPr>
                <w:rFonts w:ascii="Arial"/>
                <w:sz w:val="21"/>
              </w:rPr>
            </w:pPr>
          </w:p>
          <w:p>
            <w:pPr>
              <w:spacing w:before="175" w:line="221" w:lineRule="auto"/>
              <w:ind w:left="492"/>
              <w:rPr>
                <w:rFonts w:ascii="宋体" w:hAnsi="宋体" w:eastAsia="宋体" w:cs="宋体"/>
                <w:sz w:val="54"/>
                <w:szCs w:val="54"/>
              </w:rPr>
            </w:pPr>
            <w:r>
              <w:rPr>
                <w:rFonts w:ascii="宋体" w:hAnsi="宋体" w:eastAsia="宋体" w:cs="宋体"/>
                <w:b/>
                <w:bCs/>
                <w:spacing w:val="-1"/>
                <w:sz w:val="54"/>
                <w:szCs w:val="54"/>
              </w:rPr>
              <w:t>规定时限</w:t>
            </w:r>
          </w:p>
        </w:tc>
        <w:tc>
          <w:tcPr>
            <w:tcW w:w="7201" w:type="dxa"/>
            <w:vAlign w:val="top"/>
          </w:tcPr>
          <w:p>
            <w:pPr>
              <w:spacing w:line="465" w:lineRule="auto"/>
              <w:rPr>
                <w:rFonts w:ascii="Arial"/>
                <w:sz w:val="21"/>
              </w:rPr>
            </w:pPr>
          </w:p>
          <w:p>
            <w:pPr>
              <w:spacing w:before="176" w:line="220" w:lineRule="auto"/>
              <w:ind w:left="2323"/>
              <w:rPr>
                <w:rFonts w:ascii="宋体" w:hAnsi="宋体" w:eastAsia="宋体" w:cs="宋体"/>
                <w:sz w:val="54"/>
                <w:szCs w:val="54"/>
              </w:rPr>
            </w:pPr>
            <w:r>
              <w:rPr>
                <w:rFonts w:ascii="宋体" w:hAnsi="宋体" w:eastAsia="宋体" w:cs="宋体"/>
                <w:b/>
                <w:bCs/>
                <w:spacing w:val="4"/>
                <w:sz w:val="54"/>
                <w:szCs w:val="54"/>
              </w:rPr>
              <w:t>计算规则</w:t>
            </w:r>
          </w:p>
        </w:tc>
        <w:tc>
          <w:tcPr>
            <w:tcW w:w="3997" w:type="dxa"/>
            <w:vAlign w:val="top"/>
          </w:tcPr>
          <w:p>
            <w:pPr>
              <w:spacing w:line="465" w:lineRule="auto"/>
              <w:rPr>
                <w:rFonts w:ascii="Arial"/>
                <w:sz w:val="21"/>
              </w:rPr>
            </w:pPr>
          </w:p>
          <w:p>
            <w:pPr>
              <w:spacing w:before="176" w:line="220" w:lineRule="auto"/>
              <w:ind w:left="1191"/>
              <w:rPr>
                <w:rFonts w:ascii="宋体" w:hAnsi="宋体" w:eastAsia="宋体" w:cs="宋体"/>
                <w:sz w:val="54"/>
                <w:szCs w:val="54"/>
              </w:rPr>
            </w:pPr>
            <w:r>
              <w:rPr>
                <w:rFonts w:ascii="宋体" w:hAnsi="宋体" w:eastAsia="宋体" w:cs="宋体"/>
                <w:b/>
                <w:bCs/>
                <w:spacing w:val="-2"/>
                <w:sz w:val="54"/>
                <w:szCs w:val="54"/>
              </w:rPr>
              <w:t>责任人</w:t>
            </w:r>
          </w:p>
        </w:tc>
        <w:tc>
          <w:tcPr>
            <w:tcW w:w="3591" w:type="dxa"/>
            <w:vAlign w:val="top"/>
          </w:tcPr>
          <w:p>
            <w:pPr>
              <w:spacing w:line="465" w:lineRule="auto"/>
              <w:rPr>
                <w:rFonts w:ascii="Arial"/>
                <w:sz w:val="21"/>
              </w:rPr>
            </w:pPr>
          </w:p>
          <w:p>
            <w:pPr>
              <w:spacing w:before="176" w:line="220" w:lineRule="auto"/>
              <w:ind w:left="717"/>
              <w:rPr>
                <w:rFonts w:ascii="宋体" w:hAnsi="宋体" w:eastAsia="宋体" w:cs="宋体"/>
                <w:sz w:val="54"/>
                <w:szCs w:val="54"/>
              </w:rPr>
            </w:pPr>
            <w:r>
              <w:rPr>
                <w:rFonts w:ascii="宋体" w:hAnsi="宋体" w:eastAsia="宋体" w:cs="宋体"/>
                <w:b/>
                <w:bCs/>
                <w:spacing w:val="7"/>
                <w:sz w:val="54"/>
                <w:szCs w:val="54"/>
              </w:rPr>
              <w:t>归口部门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4" w:hRule="atLeast"/>
        </w:trPr>
        <w:tc>
          <w:tcPr>
            <w:tcW w:w="3465"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175" w:line="220" w:lineRule="auto"/>
              <w:ind w:left="642"/>
              <w:rPr>
                <w:rFonts w:ascii="宋体" w:hAnsi="宋体" w:eastAsia="宋体" w:cs="宋体"/>
                <w:sz w:val="54"/>
                <w:szCs w:val="54"/>
              </w:rPr>
            </w:pPr>
            <w:r>
              <w:rPr>
                <w:rFonts w:hint="eastAsia" w:ascii="宋体" w:hAnsi="宋体" w:eastAsia="宋体" w:cs="宋体"/>
                <w:spacing w:val="10"/>
                <w:sz w:val="53"/>
                <w:szCs w:val="53"/>
                <w:lang w:eastAsia="zh-CN"/>
              </w:rPr>
              <w:t>受理签约</w:t>
            </w:r>
          </w:p>
        </w:tc>
        <w:tc>
          <w:tcPr>
            <w:tcW w:w="5057" w:type="dxa"/>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175" w:line="220" w:lineRule="auto"/>
              <w:ind w:left="158"/>
              <w:rPr>
                <w:rFonts w:hint="default" w:ascii="宋体" w:hAnsi="宋体" w:eastAsia="宋体" w:cs="宋体"/>
                <w:sz w:val="54"/>
                <w:szCs w:val="54"/>
                <w:lang w:val="en-US" w:eastAsia="zh-CN"/>
              </w:rPr>
            </w:pPr>
            <w:r>
              <w:rPr>
                <w:rFonts w:ascii="宋体" w:hAnsi="宋体" w:eastAsia="宋体" w:cs="宋体"/>
                <w:spacing w:val="6"/>
                <w:sz w:val="54"/>
                <w:szCs w:val="54"/>
              </w:rPr>
              <w:t>业务受理</w:t>
            </w:r>
            <w:r>
              <w:rPr>
                <w:rFonts w:hint="eastAsia" w:ascii="宋体" w:hAnsi="宋体" w:eastAsia="宋体" w:cs="宋体"/>
                <w:spacing w:val="6"/>
                <w:sz w:val="54"/>
                <w:szCs w:val="54"/>
                <w:lang w:eastAsia="zh-CN"/>
              </w:rPr>
              <w:t>、</w:t>
            </w:r>
            <w:r>
              <w:rPr>
                <w:rFonts w:hint="eastAsia" w:ascii="宋体" w:hAnsi="宋体" w:eastAsia="宋体" w:cs="宋体"/>
                <w:spacing w:val="6"/>
                <w:sz w:val="54"/>
                <w:szCs w:val="54"/>
                <w:lang w:val="en-US" w:eastAsia="zh-CN"/>
              </w:rPr>
              <w:t>签订合同</w:t>
            </w:r>
          </w:p>
        </w:tc>
        <w:tc>
          <w:tcPr>
            <w:tcW w:w="3149"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176" w:line="184" w:lineRule="auto"/>
              <w:ind w:left="1165"/>
              <w:rPr>
                <w:rFonts w:ascii="宋体" w:hAnsi="宋体" w:eastAsia="宋体" w:cs="宋体"/>
                <w:sz w:val="54"/>
                <w:szCs w:val="54"/>
              </w:rPr>
            </w:pPr>
            <w:r>
              <w:rPr>
                <w:rFonts w:ascii="宋体" w:hAnsi="宋体" w:eastAsia="宋体" w:cs="宋体"/>
                <w:spacing w:val="-6"/>
                <w:sz w:val="54"/>
                <w:szCs w:val="54"/>
              </w:rPr>
              <w:t>0.5</w:t>
            </w:r>
          </w:p>
        </w:tc>
        <w:tc>
          <w:tcPr>
            <w:tcW w:w="7201" w:type="dxa"/>
            <w:vAlign w:val="top"/>
          </w:tcPr>
          <w:p>
            <w:pPr>
              <w:spacing w:before="228" w:line="220" w:lineRule="auto"/>
              <w:ind w:left="183"/>
              <w:rPr>
                <w:rFonts w:ascii="宋体" w:hAnsi="宋体" w:eastAsia="宋体" w:cs="宋体"/>
                <w:sz w:val="54"/>
                <w:szCs w:val="54"/>
              </w:rPr>
            </w:pPr>
            <w:r>
              <w:rPr>
                <w:rFonts w:ascii="宋体" w:hAnsi="宋体" w:eastAsia="宋体" w:cs="宋体"/>
                <w:color w:val="000941"/>
                <w:spacing w:val="3"/>
                <w:sz w:val="54"/>
                <w:szCs w:val="54"/>
              </w:rPr>
              <w:t>1.电子渠道从营销业务系统</w:t>
            </w:r>
          </w:p>
          <w:p>
            <w:pPr>
              <w:spacing w:before="109" w:line="220" w:lineRule="auto"/>
              <w:ind w:left="183"/>
              <w:rPr>
                <w:rFonts w:ascii="宋体" w:hAnsi="宋体" w:eastAsia="宋体" w:cs="宋体"/>
                <w:sz w:val="54"/>
                <w:szCs w:val="54"/>
              </w:rPr>
            </w:pPr>
            <w:r>
              <w:rPr>
                <w:rFonts w:ascii="宋体" w:hAnsi="宋体" w:eastAsia="宋体" w:cs="宋体"/>
                <w:spacing w:val="4"/>
                <w:sz w:val="54"/>
                <w:szCs w:val="54"/>
              </w:rPr>
              <w:t>收到业扩派单开始计算</w:t>
            </w:r>
          </w:p>
          <w:p>
            <w:pPr>
              <w:spacing w:before="121" w:line="752" w:lineRule="exact"/>
              <w:ind w:left="183"/>
              <w:rPr>
                <w:rFonts w:ascii="宋体" w:hAnsi="宋体" w:eastAsia="宋体" w:cs="宋体"/>
                <w:sz w:val="53"/>
                <w:szCs w:val="53"/>
              </w:rPr>
            </w:pPr>
            <w:r>
              <w:rPr>
                <w:rFonts w:ascii="宋体" w:hAnsi="宋体" w:eastAsia="宋体" w:cs="宋体"/>
                <w:spacing w:val="13"/>
                <w:position w:val="14"/>
                <w:sz w:val="53"/>
                <w:szCs w:val="53"/>
              </w:rPr>
              <w:t>2.营业厅渠道从启动业扩工</w:t>
            </w:r>
          </w:p>
          <w:p>
            <w:pPr>
              <w:spacing w:before="2" w:line="186" w:lineRule="auto"/>
              <w:ind w:left="183"/>
              <w:rPr>
                <w:rFonts w:ascii="宋体" w:hAnsi="宋体" w:eastAsia="宋体" w:cs="宋体"/>
                <w:sz w:val="53"/>
                <w:szCs w:val="53"/>
              </w:rPr>
            </w:pPr>
            <w:r>
              <w:rPr>
                <w:rFonts w:ascii="宋体" w:hAnsi="宋体" w:eastAsia="宋体" w:cs="宋体"/>
                <w:spacing w:val="17"/>
                <w:sz w:val="53"/>
                <w:szCs w:val="53"/>
              </w:rPr>
              <w:t>单开始计算</w:t>
            </w:r>
          </w:p>
        </w:tc>
        <w:tc>
          <w:tcPr>
            <w:tcW w:w="3997" w:type="dxa"/>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before="175" w:line="220" w:lineRule="auto"/>
              <w:ind w:left="371"/>
              <w:rPr>
                <w:rFonts w:ascii="宋体" w:hAnsi="宋体" w:eastAsia="宋体" w:cs="宋体"/>
                <w:sz w:val="54"/>
                <w:szCs w:val="54"/>
              </w:rPr>
            </w:pPr>
            <w:r>
              <w:rPr>
                <w:rFonts w:ascii="宋体" w:hAnsi="宋体" w:eastAsia="宋体" w:cs="宋体"/>
                <w:spacing w:val="14"/>
                <w:sz w:val="54"/>
                <w:szCs w:val="54"/>
              </w:rPr>
              <w:t>业务受理人员</w:t>
            </w:r>
          </w:p>
        </w:tc>
        <w:tc>
          <w:tcPr>
            <w:tcW w:w="3591"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175" w:line="220" w:lineRule="auto"/>
              <w:ind w:left="438"/>
              <w:rPr>
                <w:rFonts w:ascii="宋体" w:hAnsi="宋体" w:eastAsia="宋体" w:cs="宋体"/>
                <w:sz w:val="54"/>
                <w:szCs w:val="54"/>
              </w:rPr>
            </w:pPr>
            <w:r>
              <w:rPr>
                <w:rFonts w:ascii="宋体" w:hAnsi="宋体" w:eastAsia="宋体" w:cs="宋体"/>
                <w:spacing w:val="7"/>
                <w:sz w:val="54"/>
                <w:szCs w:val="54"/>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5" w:hRule="atLeast"/>
        </w:trPr>
        <w:tc>
          <w:tcPr>
            <w:tcW w:w="3465" w:type="dxa"/>
            <w:vMerge w:val="continue"/>
            <w:tcBorders>
              <w:top w:val="nil"/>
            </w:tcBorders>
            <w:vAlign w:val="top"/>
          </w:tcPr>
          <w:p>
            <w:pPr>
              <w:rPr>
                <w:rFonts w:ascii="Arial"/>
                <w:sz w:val="21"/>
              </w:rPr>
            </w:pPr>
          </w:p>
        </w:tc>
        <w:tc>
          <w:tcPr>
            <w:tcW w:w="5057" w:type="dxa"/>
            <w:vAlign w:val="top"/>
          </w:tcPr>
          <w:p>
            <w:pPr>
              <w:spacing w:line="263" w:lineRule="auto"/>
              <w:rPr>
                <w:rFonts w:ascii="Arial"/>
                <w:sz w:val="21"/>
              </w:rPr>
            </w:pPr>
          </w:p>
          <w:p>
            <w:pPr>
              <w:spacing w:before="176" w:line="220" w:lineRule="auto"/>
              <w:ind w:left="158"/>
              <w:rPr>
                <w:rFonts w:ascii="宋体" w:hAnsi="宋体" w:eastAsia="宋体" w:cs="宋体"/>
                <w:sz w:val="54"/>
                <w:szCs w:val="54"/>
              </w:rPr>
            </w:pPr>
            <w:r>
              <w:rPr>
                <w:rFonts w:ascii="宋体" w:hAnsi="宋体" w:eastAsia="宋体" w:cs="宋体"/>
                <w:spacing w:val="55"/>
                <w:sz w:val="54"/>
                <w:szCs w:val="54"/>
              </w:rPr>
              <w:t>现场勘察、</w:t>
            </w:r>
          </w:p>
          <w:p>
            <w:pPr>
              <w:spacing w:before="108" w:line="219" w:lineRule="auto"/>
              <w:ind w:left="158"/>
              <w:rPr>
                <w:rFonts w:ascii="宋体" w:hAnsi="宋体" w:eastAsia="宋体" w:cs="宋体"/>
                <w:sz w:val="54"/>
                <w:szCs w:val="54"/>
              </w:rPr>
            </w:pPr>
            <w:r>
              <w:rPr>
                <w:rFonts w:ascii="宋体" w:hAnsi="宋体" w:eastAsia="宋体" w:cs="宋体"/>
                <w:spacing w:val="6"/>
                <w:sz w:val="54"/>
                <w:szCs w:val="54"/>
              </w:rPr>
              <w:t>编制供电方案</w:t>
            </w:r>
          </w:p>
        </w:tc>
        <w:tc>
          <w:tcPr>
            <w:tcW w:w="3149" w:type="dxa"/>
            <w:vAlign w:val="top"/>
          </w:tcPr>
          <w:p>
            <w:pPr>
              <w:spacing w:line="347" w:lineRule="auto"/>
              <w:rPr>
                <w:rFonts w:ascii="Arial"/>
                <w:sz w:val="21"/>
              </w:rPr>
            </w:pPr>
          </w:p>
          <w:p>
            <w:pPr>
              <w:spacing w:line="347" w:lineRule="auto"/>
              <w:rPr>
                <w:rFonts w:ascii="Arial"/>
                <w:sz w:val="21"/>
              </w:rPr>
            </w:pPr>
          </w:p>
          <w:p>
            <w:pPr>
              <w:spacing w:before="176" w:line="184" w:lineRule="auto"/>
              <w:ind w:left="1435"/>
              <w:rPr>
                <w:rFonts w:ascii="宋体" w:hAnsi="宋体" w:eastAsia="宋体" w:cs="宋体"/>
                <w:sz w:val="54"/>
                <w:szCs w:val="54"/>
              </w:rPr>
            </w:pPr>
            <w:r>
              <w:rPr>
                <w:rFonts w:ascii="宋体" w:hAnsi="宋体" w:eastAsia="宋体" w:cs="宋体"/>
                <w:sz w:val="54"/>
                <w:szCs w:val="54"/>
              </w:rPr>
              <w:t>1</w:t>
            </w:r>
          </w:p>
        </w:tc>
        <w:tc>
          <w:tcPr>
            <w:tcW w:w="7201" w:type="dxa"/>
            <w:vAlign w:val="top"/>
          </w:tcPr>
          <w:p>
            <w:pPr>
              <w:spacing w:line="278" w:lineRule="auto"/>
              <w:rPr>
                <w:rFonts w:ascii="Arial"/>
                <w:sz w:val="21"/>
              </w:rPr>
            </w:pPr>
          </w:p>
          <w:p>
            <w:pPr>
              <w:spacing w:line="278" w:lineRule="auto"/>
              <w:rPr>
                <w:rFonts w:ascii="Arial"/>
                <w:sz w:val="21"/>
              </w:rPr>
            </w:pPr>
          </w:p>
          <w:p>
            <w:pPr>
              <w:spacing w:before="176" w:line="220" w:lineRule="auto"/>
              <w:ind w:left="183"/>
              <w:rPr>
                <w:rFonts w:ascii="宋体" w:hAnsi="宋体" w:eastAsia="宋体" w:cs="宋体"/>
                <w:sz w:val="54"/>
                <w:szCs w:val="54"/>
              </w:rPr>
            </w:pPr>
            <w:r>
              <w:rPr>
                <w:rFonts w:ascii="宋体" w:hAnsi="宋体" w:eastAsia="宋体" w:cs="宋体"/>
                <w:spacing w:val="4"/>
                <w:sz w:val="54"/>
                <w:szCs w:val="54"/>
              </w:rPr>
              <w:t>从申请受理完成后开始计算</w:t>
            </w:r>
          </w:p>
        </w:tc>
        <w:tc>
          <w:tcPr>
            <w:tcW w:w="3997" w:type="dxa"/>
            <w:vAlign w:val="top"/>
          </w:tcPr>
          <w:p>
            <w:pPr>
              <w:spacing w:line="279" w:lineRule="auto"/>
              <w:rPr>
                <w:rFonts w:ascii="Arial"/>
                <w:sz w:val="21"/>
              </w:rPr>
            </w:pPr>
          </w:p>
          <w:p>
            <w:pPr>
              <w:spacing w:line="279" w:lineRule="auto"/>
              <w:rPr>
                <w:rFonts w:ascii="Arial"/>
                <w:sz w:val="21"/>
              </w:rPr>
            </w:pPr>
          </w:p>
          <w:p>
            <w:pPr>
              <w:spacing w:before="175" w:line="221" w:lineRule="auto"/>
              <w:ind w:left="913"/>
              <w:rPr>
                <w:rFonts w:ascii="宋体" w:hAnsi="宋体" w:eastAsia="宋体" w:cs="宋体"/>
                <w:sz w:val="54"/>
                <w:szCs w:val="54"/>
              </w:rPr>
            </w:pPr>
            <w:r>
              <w:rPr>
                <w:rFonts w:ascii="宋体" w:hAnsi="宋体" w:eastAsia="宋体" w:cs="宋体"/>
                <w:spacing w:val="6"/>
                <w:sz w:val="54"/>
                <w:szCs w:val="54"/>
              </w:rPr>
              <w:t>客户经理</w:t>
            </w:r>
          </w:p>
        </w:tc>
        <w:tc>
          <w:tcPr>
            <w:tcW w:w="3591"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5" w:hRule="atLeast"/>
        </w:trPr>
        <w:tc>
          <w:tcPr>
            <w:tcW w:w="3465"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175" w:line="221" w:lineRule="auto"/>
              <w:ind w:left="642"/>
              <w:rPr>
                <w:rFonts w:ascii="宋体" w:hAnsi="宋体" w:eastAsia="宋体" w:cs="宋体"/>
                <w:sz w:val="54"/>
                <w:szCs w:val="54"/>
              </w:rPr>
            </w:pPr>
            <w:r>
              <w:rPr>
                <w:rFonts w:ascii="宋体" w:hAnsi="宋体" w:eastAsia="宋体" w:cs="宋体"/>
                <w:spacing w:val="9"/>
                <w:sz w:val="54"/>
                <w:szCs w:val="54"/>
              </w:rPr>
              <w:t>施工接电</w:t>
            </w:r>
          </w:p>
        </w:tc>
        <w:tc>
          <w:tcPr>
            <w:tcW w:w="5057" w:type="dxa"/>
            <w:vAlign w:val="top"/>
          </w:tcPr>
          <w:p>
            <w:pPr>
              <w:spacing w:line="325" w:lineRule="auto"/>
              <w:rPr>
                <w:rFonts w:ascii="Arial"/>
                <w:sz w:val="21"/>
              </w:rPr>
            </w:pPr>
          </w:p>
          <w:p>
            <w:pPr>
              <w:spacing w:before="176" w:line="221" w:lineRule="auto"/>
              <w:ind w:left="158"/>
              <w:rPr>
                <w:rFonts w:ascii="宋体" w:hAnsi="宋体" w:eastAsia="宋体" w:cs="宋体"/>
                <w:sz w:val="54"/>
                <w:szCs w:val="54"/>
              </w:rPr>
            </w:pPr>
            <w:r>
              <w:rPr>
                <w:rFonts w:ascii="宋体" w:hAnsi="宋体" w:eastAsia="宋体" w:cs="宋体"/>
                <w:spacing w:val="5"/>
                <w:sz w:val="54"/>
                <w:szCs w:val="54"/>
              </w:rPr>
              <w:t>电网配套工程实施</w:t>
            </w:r>
          </w:p>
        </w:tc>
        <w:tc>
          <w:tcPr>
            <w:tcW w:w="3149"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before="176" w:line="183" w:lineRule="auto"/>
              <w:ind w:left="1435"/>
              <w:rPr>
                <w:rFonts w:ascii="宋体" w:hAnsi="宋体" w:eastAsia="宋体" w:cs="宋体"/>
                <w:sz w:val="54"/>
                <w:szCs w:val="54"/>
              </w:rPr>
            </w:pPr>
            <w:r>
              <w:rPr>
                <w:rFonts w:ascii="宋体" w:hAnsi="宋体" w:eastAsia="宋体" w:cs="宋体"/>
                <w:sz w:val="54"/>
                <w:szCs w:val="54"/>
              </w:rPr>
              <w:t>3</w:t>
            </w:r>
          </w:p>
        </w:tc>
        <w:tc>
          <w:tcPr>
            <w:tcW w:w="7201"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before="176" w:line="219" w:lineRule="auto"/>
              <w:ind w:left="183"/>
              <w:rPr>
                <w:rFonts w:ascii="宋体" w:hAnsi="宋体" w:eastAsia="宋体" w:cs="宋体"/>
                <w:sz w:val="54"/>
                <w:szCs w:val="54"/>
              </w:rPr>
            </w:pPr>
            <w:r>
              <w:rPr>
                <w:rFonts w:ascii="宋体" w:hAnsi="宋体" w:eastAsia="宋体" w:cs="宋体"/>
                <w:spacing w:val="4"/>
                <w:sz w:val="54"/>
                <w:szCs w:val="54"/>
              </w:rPr>
              <w:t>从供电方案完成后开始计算</w:t>
            </w:r>
          </w:p>
        </w:tc>
        <w:tc>
          <w:tcPr>
            <w:tcW w:w="3997" w:type="dxa"/>
            <w:vAlign w:val="top"/>
          </w:tcPr>
          <w:p>
            <w:pPr>
              <w:spacing w:line="325" w:lineRule="auto"/>
              <w:rPr>
                <w:rFonts w:ascii="Arial"/>
                <w:sz w:val="21"/>
              </w:rPr>
            </w:pPr>
          </w:p>
          <w:p>
            <w:pPr>
              <w:spacing w:before="176" w:line="221" w:lineRule="auto"/>
              <w:ind w:left="913"/>
              <w:rPr>
                <w:rFonts w:ascii="宋体" w:hAnsi="宋体" w:eastAsia="宋体" w:cs="宋体"/>
                <w:sz w:val="54"/>
                <w:szCs w:val="54"/>
              </w:rPr>
            </w:pPr>
            <w:r>
              <w:rPr>
                <w:rFonts w:ascii="宋体" w:hAnsi="宋体" w:eastAsia="宋体" w:cs="宋体"/>
                <w:spacing w:val="6"/>
                <w:sz w:val="54"/>
                <w:szCs w:val="54"/>
              </w:rPr>
              <w:t>项目经理</w:t>
            </w:r>
          </w:p>
        </w:tc>
        <w:tc>
          <w:tcPr>
            <w:tcW w:w="3591" w:type="dxa"/>
            <w:vAlign w:val="top"/>
          </w:tcPr>
          <w:p>
            <w:pPr>
              <w:spacing w:line="324" w:lineRule="auto"/>
              <w:rPr>
                <w:rFonts w:ascii="Arial"/>
                <w:sz w:val="21"/>
              </w:rPr>
            </w:pPr>
          </w:p>
          <w:p>
            <w:pPr>
              <w:spacing w:before="176" w:line="220" w:lineRule="auto"/>
              <w:ind w:left="438"/>
              <w:rPr>
                <w:rFonts w:ascii="宋体" w:hAnsi="宋体" w:eastAsia="宋体" w:cs="宋体"/>
                <w:sz w:val="54"/>
                <w:szCs w:val="54"/>
              </w:rPr>
            </w:pPr>
            <w:r>
              <w:rPr>
                <w:rFonts w:ascii="宋体" w:hAnsi="宋体" w:eastAsia="宋体" w:cs="宋体"/>
                <w:spacing w:val="7"/>
                <w:sz w:val="54"/>
                <w:szCs w:val="54"/>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9" w:hRule="atLeast"/>
        </w:trPr>
        <w:tc>
          <w:tcPr>
            <w:tcW w:w="3465" w:type="dxa"/>
            <w:vMerge w:val="continue"/>
            <w:tcBorders>
              <w:top w:val="nil"/>
            </w:tcBorders>
            <w:vAlign w:val="top"/>
          </w:tcPr>
          <w:p>
            <w:pPr>
              <w:rPr>
                <w:rFonts w:ascii="Arial"/>
                <w:sz w:val="21"/>
              </w:rPr>
            </w:pPr>
          </w:p>
        </w:tc>
        <w:tc>
          <w:tcPr>
            <w:tcW w:w="5057" w:type="dxa"/>
            <w:vAlign w:val="top"/>
          </w:tcPr>
          <w:p>
            <w:pPr>
              <w:spacing w:line="349" w:lineRule="auto"/>
              <w:rPr>
                <w:rFonts w:ascii="Arial"/>
                <w:sz w:val="21"/>
              </w:rPr>
            </w:pPr>
          </w:p>
          <w:p>
            <w:pPr>
              <w:spacing w:before="176" w:line="221" w:lineRule="auto"/>
              <w:ind w:left="158"/>
              <w:rPr>
                <w:rFonts w:ascii="宋体" w:hAnsi="宋体" w:eastAsia="宋体" w:cs="宋体"/>
                <w:sz w:val="54"/>
                <w:szCs w:val="54"/>
              </w:rPr>
            </w:pPr>
            <w:r>
              <w:rPr>
                <w:rFonts w:ascii="宋体" w:hAnsi="宋体" w:eastAsia="宋体" w:cs="宋体"/>
                <w:spacing w:val="3"/>
                <w:sz w:val="54"/>
                <w:szCs w:val="54"/>
              </w:rPr>
              <w:t>正式接电</w:t>
            </w:r>
          </w:p>
        </w:tc>
        <w:tc>
          <w:tcPr>
            <w:tcW w:w="3149" w:type="dxa"/>
            <w:vMerge w:val="continue"/>
            <w:tcBorders>
              <w:top w:val="nil"/>
            </w:tcBorders>
            <w:vAlign w:val="top"/>
          </w:tcPr>
          <w:p>
            <w:pPr>
              <w:rPr>
                <w:rFonts w:ascii="Arial"/>
                <w:sz w:val="21"/>
              </w:rPr>
            </w:pPr>
          </w:p>
        </w:tc>
        <w:tc>
          <w:tcPr>
            <w:tcW w:w="7201" w:type="dxa"/>
            <w:vMerge w:val="continue"/>
            <w:tcBorders>
              <w:top w:val="nil"/>
            </w:tcBorders>
            <w:vAlign w:val="top"/>
          </w:tcPr>
          <w:p>
            <w:pPr>
              <w:rPr>
                <w:rFonts w:ascii="Arial"/>
                <w:sz w:val="21"/>
              </w:rPr>
            </w:pPr>
          </w:p>
        </w:tc>
        <w:tc>
          <w:tcPr>
            <w:tcW w:w="3997" w:type="dxa"/>
            <w:vAlign w:val="top"/>
          </w:tcPr>
          <w:p>
            <w:pPr>
              <w:spacing w:line="345" w:lineRule="auto"/>
              <w:rPr>
                <w:rFonts w:ascii="Arial"/>
                <w:sz w:val="21"/>
              </w:rPr>
            </w:pPr>
          </w:p>
          <w:p>
            <w:pPr>
              <w:spacing w:before="175" w:line="221" w:lineRule="auto"/>
              <w:ind w:left="913"/>
              <w:rPr>
                <w:rFonts w:ascii="宋体" w:hAnsi="宋体" w:eastAsia="宋体" w:cs="宋体"/>
                <w:sz w:val="54"/>
                <w:szCs w:val="54"/>
              </w:rPr>
            </w:pPr>
            <w:r>
              <w:rPr>
                <w:rFonts w:ascii="宋体" w:hAnsi="宋体" w:eastAsia="宋体" w:cs="宋体"/>
                <w:spacing w:val="6"/>
                <w:sz w:val="54"/>
                <w:szCs w:val="54"/>
              </w:rPr>
              <w:t>客户经理</w:t>
            </w:r>
          </w:p>
        </w:tc>
        <w:tc>
          <w:tcPr>
            <w:tcW w:w="3591" w:type="dxa"/>
            <w:vAlign w:val="top"/>
          </w:tcPr>
          <w:p>
            <w:pPr>
              <w:spacing w:line="343" w:lineRule="auto"/>
              <w:rPr>
                <w:rFonts w:ascii="Arial"/>
                <w:sz w:val="21"/>
              </w:rPr>
            </w:pPr>
          </w:p>
          <w:p>
            <w:pPr>
              <w:spacing w:before="176" w:line="220" w:lineRule="auto"/>
              <w:ind w:left="438"/>
              <w:rPr>
                <w:rFonts w:ascii="宋体" w:hAnsi="宋体" w:eastAsia="宋体" w:cs="宋体"/>
                <w:sz w:val="54"/>
                <w:szCs w:val="54"/>
              </w:rPr>
            </w:pPr>
            <w:r>
              <w:rPr>
                <w:rFonts w:ascii="宋体" w:hAnsi="宋体" w:eastAsia="宋体" w:cs="宋体"/>
                <w:spacing w:val="7"/>
                <w:sz w:val="54"/>
                <w:szCs w:val="54"/>
              </w:rPr>
              <w:t>营销服务部</w:t>
            </w:r>
          </w:p>
        </w:tc>
      </w:tr>
    </w:tbl>
    <w:p>
      <w:pPr>
        <w:spacing w:before="277" w:line="223" w:lineRule="auto"/>
        <w:ind w:left="153"/>
        <w:rPr>
          <w:rFonts w:ascii="楷体" w:hAnsi="楷体" w:eastAsia="楷体" w:cs="楷体"/>
          <w:sz w:val="59"/>
          <w:szCs w:val="59"/>
        </w:rPr>
      </w:pPr>
      <w:r>
        <w:rPr>
          <w:rFonts w:ascii="楷体" w:hAnsi="楷体" w:eastAsia="楷体" w:cs="楷体"/>
          <w:spacing w:val="10"/>
          <w:sz w:val="59"/>
          <w:szCs w:val="59"/>
        </w:rPr>
        <w:t>注：1.时限单位：工作日</w:t>
      </w:r>
    </w:p>
    <w:p>
      <w:pPr>
        <w:spacing w:line="297" w:lineRule="auto"/>
        <w:rPr>
          <w:rFonts w:ascii="Arial"/>
          <w:sz w:val="21"/>
        </w:rPr>
      </w:pPr>
    </w:p>
    <w:p>
      <w:pPr>
        <w:spacing w:before="277" w:line="223" w:lineRule="auto"/>
        <w:ind w:left="153" w:firstLine="1220" w:firstLineChars="200"/>
        <w:rPr>
          <w:rFonts w:ascii="楷体" w:hAnsi="楷体" w:eastAsia="楷体" w:cs="楷体"/>
          <w:spacing w:val="10"/>
          <w:sz w:val="59"/>
          <w:szCs w:val="59"/>
        </w:rPr>
      </w:pPr>
      <w:r>
        <w:rPr>
          <w:rFonts w:ascii="楷体" w:hAnsi="楷体" w:eastAsia="楷体" w:cs="楷体"/>
          <w:spacing w:val="10"/>
          <w:sz w:val="59"/>
          <w:szCs w:val="59"/>
        </w:rPr>
        <w:t>2.归口责任部门按照业扩配套工程管理职能划转调整</w:t>
      </w:r>
    </w:p>
    <w:p>
      <w:pPr>
        <w:sectPr>
          <w:pgSz w:w="31680" w:h="22401" w:orient="landscape"/>
          <w:pgMar w:top="1904" w:right="2220" w:bottom="3171" w:left="1682" w:header="0" w:footer="2741" w:gutter="0"/>
          <w:cols w:space="720" w:num="1"/>
        </w:sectPr>
      </w:pPr>
    </w:p>
    <w:p>
      <w:pPr>
        <w:spacing w:line="300" w:lineRule="auto"/>
        <w:rPr>
          <w:rFonts w:ascii="Arial"/>
          <w:sz w:val="21"/>
        </w:rPr>
      </w:pPr>
    </w:p>
    <w:p>
      <w:pPr>
        <w:spacing w:line="301" w:lineRule="auto"/>
        <w:rPr>
          <w:rFonts w:ascii="Arial"/>
          <w:sz w:val="21"/>
        </w:rPr>
      </w:pPr>
    </w:p>
    <w:p>
      <w:pPr>
        <w:spacing w:line="301" w:lineRule="auto"/>
        <w:rPr>
          <w:rFonts w:ascii="Arial"/>
          <w:sz w:val="21"/>
        </w:rPr>
      </w:pPr>
    </w:p>
    <w:p>
      <w:pPr>
        <w:spacing w:before="191" w:line="221" w:lineRule="auto"/>
        <w:ind w:left="8773"/>
        <w:rPr>
          <w:rFonts w:ascii="黑体" w:hAnsi="黑体" w:eastAsia="黑体" w:cs="黑体"/>
          <w:sz w:val="59"/>
          <w:szCs w:val="59"/>
        </w:rPr>
      </w:pPr>
      <w:r>
        <w:rPr>
          <w:rFonts w:ascii="黑体" w:hAnsi="黑体" w:eastAsia="黑体" w:cs="黑体"/>
          <w:b/>
          <w:bCs/>
          <w:spacing w:val="7"/>
          <w:sz w:val="59"/>
          <w:szCs w:val="59"/>
        </w:rPr>
        <w:t>低压</w:t>
      </w:r>
      <w:r>
        <w:rPr>
          <w:rFonts w:hint="eastAsia" w:ascii="黑体" w:hAnsi="黑体" w:eastAsia="黑体" w:cs="黑体"/>
          <w:b/>
          <w:bCs/>
          <w:spacing w:val="7"/>
          <w:sz w:val="59"/>
          <w:szCs w:val="59"/>
          <w:lang w:val="en-US" w:eastAsia="zh-CN"/>
        </w:rPr>
        <w:t>三零</w:t>
      </w:r>
      <w:r>
        <w:rPr>
          <w:rFonts w:ascii="黑体" w:hAnsi="黑体" w:eastAsia="黑体" w:cs="黑体"/>
          <w:b/>
          <w:bCs/>
          <w:spacing w:val="7"/>
          <w:sz w:val="59"/>
          <w:szCs w:val="59"/>
        </w:rPr>
        <w:t>非居民流程及时限规定调整情况表</w:t>
      </w:r>
    </w:p>
    <w:p>
      <w:pPr>
        <w:spacing w:line="213" w:lineRule="exact"/>
      </w:pPr>
    </w:p>
    <w:tbl>
      <w:tblPr>
        <w:tblStyle w:val="28"/>
        <w:tblW w:w="262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61"/>
        <w:gridCol w:w="4959"/>
        <w:gridCol w:w="3203"/>
        <w:gridCol w:w="7164"/>
        <w:gridCol w:w="4052"/>
        <w:gridCol w:w="33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0" w:hRule="atLeast"/>
        </w:trPr>
        <w:tc>
          <w:tcPr>
            <w:tcW w:w="3461" w:type="dxa"/>
            <w:vAlign w:val="top"/>
          </w:tcPr>
          <w:p>
            <w:pPr>
              <w:spacing w:line="459" w:lineRule="auto"/>
              <w:rPr>
                <w:rFonts w:ascii="Arial"/>
                <w:sz w:val="21"/>
              </w:rPr>
            </w:pPr>
          </w:p>
          <w:p>
            <w:pPr>
              <w:spacing w:before="172" w:line="222" w:lineRule="auto"/>
              <w:ind w:left="631"/>
              <w:rPr>
                <w:rFonts w:ascii="宋体" w:hAnsi="宋体" w:eastAsia="宋体" w:cs="宋体"/>
                <w:sz w:val="53"/>
                <w:szCs w:val="53"/>
              </w:rPr>
            </w:pPr>
            <w:r>
              <w:rPr>
                <w:rFonts w:ascii="宋体" w:hAnsi="宋体" w:eastAsia="宋体" w:cs="宋体"/>
                <w:b/>
                <w:bCs/>
                <w:spacing w:val="3"/>
                <w:sz w:val="53"/>
                <w:szCs w:val="53"/>
              </w:rPr>
              <w:t>环节名称</w:t>
            </w:r>
          </w:p>
        </w:tc>
        <w:tc>
          <w:tcPr>
            <w:tcW w:w="4959" w:type="dxa"/>
            <w:vAlign w:val="top"/>
          </w:tcPr>
          <w:p>
            <w:pPr>
              <w:spacing w:line="459" w:lineRule="auto"/>
              <w:rPr>
                <w:rFonts w:ascii="Arial"/>
                <w:sz w:val="21"/>
              </w:rPr>
            </w:pPr>
          </w:p>
          <w:p>
            <w:pPr>
              <w:spacing w:before="172" w:line="222" w:lineRule="auto"/>
              <w:ind w:left="1297"/>
              <w:rPr>
                <w:rFonts w:ascii="宋体" w:hAnsi="宋体" w:eastAsia="宋体" w:cs="宋体"/>
                <w:sz w:val="53"/>
                <w:szCs w:val="53"/>
              </w:rPr>
            </w:pPr>
            <w:r>
              <w:rPr>
                <w:rFonts w:ascii="宋体" w:hAnsi="宋体" w:eastAsia="宋体" w:cs="宋体"/>
                <w:b/>
                <w:bCs/>
                <w:spacing w:val="3"/>
                <w:sz w:val="53"/>
                <w:szCs w:val="53"/>
              </w:rPr>
              <w:t>节点名称</w:t>
            </w:r>
          </w:p>
        </w:tc>
        <w:tc>
          <w:tcPr>
            <w:tcW w:w="3203" w:type="dxa"/>
            <w:vAlign w:val="top"/>
          </w:tcPr>
          <w:p>
            <w:pPr>
              <w:spacing w:line="459" w:lineRule="auto"/>
              <w:rPr>
                <w:rFonts w:ascii="Arial"/>
                <w:sz w:val="21"/>
              </w:rPr>
            </w:pPr>
          </w:p>
          <w:p>
            <w:pPr>
              <w:spacing w:before="172" w:line="222" w:lineRule="auto"/>
              <w:ind w:left="534"/>
              <w:rPr>
                <w:rFonts w:ascii="宋体" w:hAnsi="宋体" w:eastAsia="宋体" w:cs="宋体"/>
                <w:sz w:val="53"/>
                <w:szCs w:val="53"/>
              </w:rPr>
            </w:pPr>
            <w:r>
              <w:rPr>
                <w:rFonts w:ascii="宋体" w:hAnsi="宋体" w:eastAsia="宋体" w:cs="宋体"/>
                <w:b/>
                <w:bCs/>
                <w:spacing w:val="3"/>
                <w:sz w:val="53"/>
                <w:szCs w:val="53"/>
              </w:rPr>
              <w:t>规定时限</w:t>
            </w:r>
          </w:p>
        </w:tc>
        <w:tc>
          <w:tcPr>
            <w:tcW w:w="7164" w:type="dxa"/>
            <w:vAlign w:val="top"/>
          </w:tcPr>
          <w:p>
            <w:pPr>
              <w:spacing w:line="458" w:lineRule="auto"/>
              <w:rPr>
                <w:rFonts w:ascii="Arial"/>
                <w:sz w:val="21"/>
              </w:rPr>
            </w:pPr>
          </w:p>
          <w:p>
            <w:pPr>
              <w:spacing w:before="172" w:line="221" w:lineRule="auto"/>
              <w:ind w:left="2346"/>
              <w:rPr>
                <w:rFonts w:ascii="宋体" w:hAnsi="宋体" w:eastAsia="宋体" w:cs="宋体"/>
                <w:sz w:val="53"/>
                <w:szCs w:val="53"/>
              </w:rPr>
            </w:pPr>
            <w:r>
              <w:rPr>
                <w:rFonts w:ascii="宋体" w:hAnsi="宋体" w:eastAsia="宋体" w:cs="宋体"/>
                <w:b/>
                <w:bCs/>
                <w:spacing w:val="8"/>
                <w:sz w:val="53"/>
                <w:szCs w:val="53"/>
              </w:rPr>
              <w:t>计算规则</w:t>
            </w:r>
          </w:p>
        </w:tc>
        <w:tc>
          <w:tcPr>
            <w:tcW w:w="4052" w:type="dxa"/>
            <w:vAlign w:val="top"/>
          </w:tcPr>
          <w:p>
            <w:pPr>
              <w:spacing w:line="458" w:lineRule="auto"/>
              <w:rPr>
                <w:rFonts w:ascii="Arial"/>
                <w:sz w:val="21"/>
              </w:rPr>
            </w:pPr>
          </w:p>
          <w:p>
            <w:pPr>
              <w:spacing w:before="172" w:line="221" w:lineRule="auto"/>
              <w:ind w:left="1228"/>
              <w:rPr>
                <w:rFonts w:ascii="宋体" w:hAnsi="宋体" w:eastAsia="宋体" w:cs="宋体"/>
                <w:sz w:val="53"/>
                <w:szCs w:val="53"/>
              </w:rPr>
            </w:pPr>
            <w:r>
              <w:rPr>
                <w:rFonts w:ascii="宋体" w:hAnsi="宋体" w:eastAsia="宋体" w:cs="宋体"/>
                <w:b/>
                <w:bCs/>
                <w:spacing w:val="2"/>
                <w:sz w:val="53"/>
                <w:szCs w:val="53"/>
              </w:rPr>
              <w:t>责任人</w:t>
            </w:r>
          </w:p>
        </w:tc>
        <w:tc>
          <w:tcPr>
            <w:tcW w:w="3368" w:type="dxa"/>
            <w:vAlign w:val="top"/>
          </w:tcPr>
          <w:p>
            <w:pPr>
              <w:spacing w:line="458" w:lineRule="auto"/>
              <w:rPr>
                <w:rFonts w:ascii="Arial"/>
                <w:sz w:val="21"/>
              </w:rPr>
            </w:pPr>
          </w:p>
          <w:p>
            <w:pPr>
              <w:spacing w:before="172" w:line="221" w:lineRule="auto"/>
              <w:ind w:left="615"/>
              <w:rPr>
                <w:rFonts w:ascii="宋体" w:hAnsi="宋体" w:eastAsia="宋体" w:cs="宋体"/>
                <w:sz w:val="53"/>
                <w:szCs w:val="53"/>
              </w:rPr>
            </w:pPr>
            <w:r>
              <w:rPr>
                <w:rFonts w:ascii="宋体" w:hAnsi="宋体" w:eastAsia="宋体" w:cs="宋体"/>
                <w:b/>
                <w:bCs/>
                <w:spacing w:val="11"/>
                <w:sz w:val="53"/>
                <w:szCs w:val="53"/>
              </w:rPr>
              <w:t>归口部门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2" w:hRule="atLeast"/>
        </w:trPr>
        <w:tc>
          <w:tcPr>
            <w:tcW w:w="3461"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73" w:line="221" w:lineRule="auto"/>
              <w:ind w:left="624"/>
              <w:rPr>
                <w:rFonts w:hint="eastAsia" w:ascii="宋体" w:hAnsi="宋体" w:eastAsia="宋体" w:cs="宋体"/>
                <w:sz w:val="53"/>
                <w:szCs w:val="53"/>
                <w:lang w:eastAsia="zh-CN"/>
              </w:rPr>
            </w:pPr>
            <w:r>
              <w:rPr>
                <w:rFonts w:hint="eastAsia" w:ascii="宋体" w:hAnsi="宋体" w:eastAsia="宋体" w:cs="宋体"/>
                <w:spacing w:val="10"/>
                <w:sz w:val="53"/>
                <w:szCs w:val="53"/>
                <w:lang w:eastAsia="zh-CN"/>
              </w:rPr>
              <w:t>受理签约</w:t>
            </w:r>
          </w:p>
        </w:tc>
        <w:tc>
          <w:tcPr>
            <w:tcW w:w="495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172" w:line="221" w:lineRule="auto"/>
              <w:ind w:left="163"/>
              <w:rPr>
                <w:rFonts w:ascii="宋体" w:hAnsi="宋体" w:eastAsia="宋体" w:cs="宋体"/>
                <w:sz w:val="53"/>
                <w:szCs w:val="53"/>
              </w:rPr>
            </w:pPr>
            <w:r>
              <w:rPr>
                <w:rFonts w:ascii="宋体" w:hAnsi="宋体" w:eastAsia="宋体" w:cs="宋体"/>
                <w:spacing w:val="10"/>
                <w:sz w:val="53"/>
                <w:szCs w:val="53"/>
              </w:rPr>
              <w:t>业务受理</w:t>
            </w:r>
            <w:r>
              <w:rPr>
                <w:rFonts w:hint="eastAsia" w:ascii="宋体" w:hAnsi="宋体" w:eastAsia="宋体" w:cs="宋体"/>
                <w:spacing w:val="6"/>
                <w:sz w:val="54"/>
                <w:szCs w:val="54"/>
                <w:lang w:eastAsia="zh-CN"/>
              </w:rPr>
              <w:t>、</w:t>
            </w:r>
            <w:r>
              <w:rPr>
                <w:rFonts w:hint="eastAsia" w:ascii="宋体" w:hAnsi="宋体" w:eastAsia="宋体" w:cs="宋体"/>
                <w:spacing w:val="6"/>
                <w:sz w:val="54"/>
                <w:szCs w:val="54"/>
                <w:lang w:val="en-US" w:eastAsia="zh-CN"/>
              </w:rPr>
              <w:t>签订合同</w:t>
            </w:r>
          </w:p>
        </w:tc>
        <w:tc>
          <w:tcPr>
            <w:tcW w:w="3203"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173" w:line="184" w:lineRule="auto"/>
              <w:ind w:left="1194"/>
              <w:rPr>
                <w:rFonts w:ascii="宋体" w:hAnsi="宋体" w:eastAsia="宋体" w:cs="宋体"/>
                <w:sz w:val="53"/>
                <w:szCs w:val="53"/>
              </w:rPr>
            </w:pPr>
            <w:r>
              <w:rPr>
                <w:rFonts w:ascii="宋体" w:hAnsi="宋体" w:eastAsia="宋体" w:cs="宋体"/>
                <w:spacing w:val="-4"/>
                <w:sz w:val="53"/>
                <w:szCs w:val="53"/>
              </w:rPr>
              <w:t>0.5</w:t>
            </w:r>
          </w:p>
        </w:tc>
        <w:tc>
          <w:tcPr>
            <w:tcW w:w="7164" w:type="dxa"/>
            <w:vAlign w:val="top"/>
          </w:tcPr>
          <w:p>
            <w:pPr>
              <w:spacing w:before="240" w:line="221" w:lineRule="auto"/>
              <w:ind w:left="201"/>
              <w:rPr>
                <w:rFonts w:ascii="宋体" w:hAnsi="宋体" w:eastAsia="宋体" w:cs="宋体"/>
                <w:sz w:val="53"/>
                <w:szCs w:val="53"/>
              </w:rPr>
            </w:pPr>
            <w:r>
              <w:rPr>
                <w:rFonts w:ascii="宋体" w:hAnsi="宋体" w:eastAsia="宋体" w:cs="宋体"/>
                <w:color w:val="000441"/>
                <w:spacing w:val="7"/>
                <w:sz w:val="53"/>
                <w:szCs w:val="53"/>
              </w:rPr>
              <w:t>1.电子渠道从营销业务系统</w:t>
            </w:r>
          </w:p>
          <w:p>
            <w:pPr>
              <w:spacing w:before="148" w:line="221" w:lineRule="auto"/>
              <w:ind w:left="201"/>
              <w:rPr>
                <w:rFonts w:ascii="宋体" w:hAnsi="宋体" w:eastAsia="宋体" w:cs="宋体"/>
                <w:sz w:val="53"/>
                <w:szCs w:val="53"/>
              </w:rPr>
            </w:pPr>
            <w:r>
              <w:rPr>
                <w:rFonts w:ascii="宋体" w:hAnsi="宋体" w:eastAsia="宋体" w:cs="宋体"/>
                <w:spacing w:val="8"/>
                <w:sz w:val="53"/>
                <w:szCs w:val="53"/>
              </w:rPr>
              <w:t>收到业扩派单开始计算</w:t>
            </w:r>
          </w:p>
          <w:p>
            <w:pPr>
              <w:spacing w:before="117" w:line="718" w:lineRule="exact"/>
              <w:ind w:left="201"/>
              <w:rPr>
                <w:rFonts w:ascii="宋体" w:hAnsi="宋体" w:eastAsia="宋体" w:cs="宋体"/>
                <w:sz w:val="52"/>
                <w:szCs w:val="52"/>
              </w:rPr>
            </w:pPr>
            <w:r>
              <w:rPr>
                <w:rFonts w:ascii="宋体" w:hAnsi="宋体" w:eastAsia="宋体" w:cs="宋体"/>
                <w:spacing w:val="16"/>
                <w:position w:val="12"/>
                <w:sz w:val="52"/>
                <w:szCs w:val="52"/>
              </w:rPr>
              <w:t>2.营业厅渠道从启动业扩工</w:t>
            </w:r>
          </w:p>
          <w:p>
            <w:pPr>
              <w:spacing w:before="1" w:line="187" w:lineRule="auto"/>
              <w:ind w:left="201"/>
              <w:rPr>
                <w:rFonts w:ascii="宋体" w:hAnsi="宋体" w:eastAsia="宋体" w:cs="宋体"/>
                <w:sz w:val="52"/>
                <w:szCs w:val="52"/>
              </w:rPr>
            </w:pPr>
            <w:r>
              <w:rPr>
                <w:rFonts w:ascii="宋体" w:hAnsi="宋体" w:eastAsia="宋体" w:cs="宋体"/>
                <w:spacing w:val="20"/>
                <w:sz w:val="52"/>
                <w:szCs w:val="52"/>
              </w:rPr>
              <w:t>单开始计算</w:t>
            </w:r>
          </w:p>
        </w:tc>
        <w:tc>
          <w:tcPr>
            <w:tcW w:w="4052"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172" w:line="221" w:lineRule="auto"/>
              <w:ind w:left="414"/>
              <w:rPr>
                <w:rFonts w:ascii="宋体" w:hAnsi="宋体" w:eastAsia="宋体" w:cs="宋体"/>
                <w:sz w:val="53"/>
                <w:szCs w:val="53"/>
              </w:rPr>
            </w:pPr>
            <w:r>
              <w:rPr>
                <w:rFonts w:ascii="宋体" w:hAnsi="宋体" w:eastAsia="宋体" w:cs="宋体"/>
                <w:spacing w:val="18"/>
                <w:sz w:val="53"/>
                <w:szCs w:val="53"/>
              </w:rPr>
              <w:t>业务受理人员</w:t>
            </w:r>
          </w:p>
        </w:tc>
        <w:tc>
          <w:tcPr>
            <w:tcW w:w="3368"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73" w:line="221" w:lineRule="auto"/>
              <w:ind w:left="342"/>
              <w:rPr>
                <w:rFonts w:ascii="宋体" w:hAnsi="宋体" w:eastAsia="宋体" w:cs="宋体"/>
                <w:sz w:val="53"/>
                <w:szCs w:val="53"/>
              </w:rPr>
            </w:pPr>
            <w:r>
              <w:rPr>
                <w:rFonts w:ascii="宋体" w:hAnsi="宋体" w:eastAsia="宋体" w:cs="宋体"/>
                <w:spacing w:val="11"/>
                <w:sz w:val="53"/>
                <w:szCs w:val="53"/>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4" w:hRule="atLeast"/>
        </w:trPr>
        <w:tc>
          <w:tcPr>
            <w:tcW w:w="3461" w:type="dxa"/>
            <w:vMerge w:val="continue"/>
            <w:tcBorders>
              <w:top w:val="nil"/>
            </w:tcBorders>
            <w:vAlign w:val="top"/>
          </w:tcPr>
          <w:p>
            <w:pPr>
              <w:rPr>
                <w:rFonts w:ascii="Arial"/>
                <w:sz w:val="21"/>
              </w:rPr>
            </w:pPr>
          </w:p>
        </w:tc>
        <w:tc>
          <w:tcPr>
            <w:tcW w:w="4959" w:type="dxa"/>
            <w:vAlign w:val="top"/>
          </w:tcPr>
          <w:p>
            <w:pPr>
              <w:spacing w:line="363" w:lineRule="auto"/>
              <w:rPr>
                <w:rFonts w:ascii="Arial"/>
                <w:sz w:val="21"/>
              </w:rPr>
            </w:pPr>
          </w:p>
          <w:p>
            <w:pPr>
              <w:spacing w:before="108" w:line="221" w:lineRule="auto"/>
              <w:ind w:left="163"/>
              <w:rPr>
                <w:rFonts w:ascii="宋体" w:hAnsi="宋体" w:eastAsia="宋体" w:cs="宋体"/>
                <w:spacing w:val="10"/>
                <w:sz w:val="53"/>
                <w:szCs w:val="53"/>
              </w:rPr>
            </w:pPr>
            <w:r>
              <w:rPr>
                <w:rFonts w:ascii="宋体" w:hAnsi="宋体" w:eastAsia="宋体" w:cs="宋体"/>
                <w:spacing w:val="10"/>
                <w:sz w:val="53"/>
                <w:szCs w:val="53"/>
              </w:rPr>
              <w:t>现场勘察、</w:t>
            </w:r>
          </w:p>
          <w:p>
            <w:pPr>
              <w:spacing w:before="108" w:line="221" w:lineRule="auto"/>
              <w:ind w:left="163"/>
              <w:rPr>
                <w:rFonts w:ascii="宋体" w:hAnsi="宋体" w:eastAsia="宋体" w:cs="宋体"/>
                <w:sz w:val="53"/>
                <w:szCs w:val="53"/>
              </w:rPr>
            </w:pPr>
            <w:r>
              <w:rPr>
                <w:rFonts w:ascii="宋体" w:hAnsi="宋体" w:eastAsia="宋体" w:cs="宋体"/>
                <w:spacing w:val="10"/>
                <w:sz w:val="53"/>
                <w:szCs w:val="53"/>
              </w:rPr>
              <w:t>编制供电方案</w:t>
            </w:r>
          </w:p>
        </w:tc>
        <w:tc>
          <w:tcPr>
            <w:tcW w:w="3203"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172" w:line="185" w:lineRule="auto"/>
              <w:ind w:left="1459"/>
              <w:rPr>
                <w:rFonts w:ascii="宋体" w:hAnsi="宋体" w:eastAsia="宋体" w:cs="宋体"/>
                <w:sz w:val="53"/>
                <w:szCs w:val="53"/>
              </w:rPr>
            </w:pPr>
            <w:r>
              <w:rPr>
                <w:rFonts w:ascii="宋体" w:hAnsi="宋体" w:eastAsia="宋体" w:cs="宋体"/>
                <w:sz w:val="53"/>
                <w:szCs w:val="53"/>
              </w:rPr>
              <w:t>1</w:t>
            </w:r>
          </w:p>
        </w:tc>
        <w:tc>
          <w:tcPr>
            <w:tcW w:w="7164" w:type="dxa"/>
            <w:vAlign w:val="top"/>
          </w:tcPr>
          <w:p>
            <w:pPr>
              <w:spacing w:line="325" w:lineRule="auto"/>
              <w:rPr>
                <w:rFonts w:ascii="Arial"/>
                <w:sz w:val="21"/>
              </w:rPr>
            </w:pPr>
          </w:p>
          <w:p>
            <w:pPr>
              <w:spacing w:line="325" w:lineRule="auto"/>
              <w:rPr>
                <w:rFonts w:ascii="Arial"/>
                <w:sz w:val="21"/>
              </w:rPr>
            </w:pPr>
          </w:p>
          <w:p>
            <w:pPr>
              <w:spacing w:before="172" w:line="221" w:lineRule="auto"/>
              <w:ind w:left="201"/>
              <w:rPr>
                <w:rFonts w:ascii="宋体" w:hAnsi="宋体" w:eastAsia="宋体" w:cs="宋体"/>
                <w:sz w:val="53"/>
                <w:szCs w:val="53"/>
              </w:rPr>
            </w:pPr>
            <w:r>
              <w:rPr>
                <w:rFonts w:ascii="宋体" w:hAnsi="宋体" w:eastAsia="宋体" w:cs="宋体"/>
                <w:spacing w:val="8"/>
                <w:sz w:val="53"/>
                <w:szCs w:val="53"/>
              </w:rPr>
              <w:t>从申请受理完成后开始计算</w:t>
            </w:r>
          </w:p>
        </w:tc>
        <w:tc>
          <w:tcPr>
            <w:tcW w:w="4052" w:type="dxa"/>
            <w:vAlign w:val="top"/>
          </w:tcPr>
          <w:p>
            <w:pPr>
              <w:spacing w:line="325" w:lineRule="auto"/>
              <w:rPr>
                <w:rFonts w:ascii="Arial"/>
                <w:sz w:val="21"/>
              </w:rPr>
            </w:pPr>
          </w:p>
          <w:p>
            <w:pPr>
              <w:spacing w:line="326" w:lineRule="auto"/>
              <w:rPr>
                <w:rFonts w:ascii="Arial"/>
                <w:sz w:val="21"/>
              </w:rPr>
            </w:pPr>
          </w:p>
          <w:p>
            <w:pPr>
              <w:spacing w:before="173" w:line="222" w:lineRule="auto"/>
              <w:ind w:left="950"/>
              <w:rPr>
                <w:rFonts w:ascii="宋体" w:hAnsi="宋体" w:eastAsia="宋体" w:cs="宋体"/>
                <w:sz w:val="53"/>
                <w:szCs w:val="53"/>
              </w:rPr>
            </w:pPr>
            <w:r>
              <w:rPr>
                <w:rFonts w:ascii="宋体" w:hAnsi="宋体" w:eastAsia="宋体" w:cs="宋体"/>
                <w:spacing w:val="10"/>
                <w:sz w:val="53"/>
                <w:szCs w:val="53"/>
              </w:rPr>
              <w:t>客户经理</w:t>
            </w:r>
          </w:p>
        </w:tc>
        <w:tc>
          <w:tcPr>
            <w:tcW w:w="3368"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7" w:hRule="atLeast"/>
        </w:trPr>
        <w:tc>
          <w:tcPr>
            <w:tcW w:w="3461"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173" w:line="223" w:lineRule="auto"/>
              <w:ind w:left="624"/>
              <w:rPr>
                <w:rFonts w:ascii="宋体" w:hAnsi="宋体" w:eastAsia="宋体" w:cs="宋体"/>
                <w:sz w:val="53"/>
                <w:szCs w:val="53"/>
              </w:rPr>
            </w:pPr>
            <w:r>
              <w:rPr>
                <w:rFonts w:ascii="宋体" w:hAnsi="宋体" w:eastAsia="宋体" w:cs="宋体"/>
                <w:spacing w:val="13"/>
                <w:sz w:val="53"/>
                <w:szCs w:val="53"/>
              </w:rPr>
              <w:t>施工接电</w:t>
            </w:r>
          </w:p>
        </w:tc>
        <w:tc>
          <w:tcPr>
            <w:tcW w:w="4959" w:type="dxa"/>
            <w:vAlign w:val="top"/>
          </w:tcPr>
          <w:p>
            <w:pPr>
              <w:spacing w:line="303" w:lineRule="auto"/>
              <w:rPr>
                <w:rFonts w:ascii="Arial"/>
                <w:sz w:val="21"/>
              </w:rPr>
            </w:pPr>
          </w:p>
          <w:p>
            <w:pPr>
              <w:spacing w:before="108" w:line="221" w:lineRule="auto"/>
              <w:ind w:left="163"/>
              <w:rPr>
                <w:rFonts w:ascii="宋体" w:hAnsi="宋体" w:eastAsia="宋体" w:cs="宋体"/>
                <w:spacing w:val="10"/>
                <w:sz w:val="53"/>
                <w:szCs w:val="53"/>
              </w:rPr>
            </w:pPr>
            <w:r>
              <w:rPr>
                <w:rFonts w:ascii="宋体" w:hAnsi="宋体" w:eastAsia="宋体" w:cs="宋体"/>
                <w:spacing w:val="10"/>
                <w:sz w:val="53"/>
                <w:szCs w:val="53"/>
              </w:rPr>
              <w:t>办理行政审批(备</w:t>
            </w:r>
          </w:p>
          <w:p>
            <w:pPr>
              <w:spacing w:before="108" w:line="221" w:lineRule="auto"/>
              <w:ind w:left="163"/>
              <w:rPr>
                <w:rFonts w:ascii="宋体" w:hAnsi="宋体" w:eastAsia="宋体" w:cs="宋体"/>
                <w:sz w:val="53"/>
                <w:szCs w:val="53"/>
              </w:rPr>
            </w:pPr>
            <w:r>
              <w:rPr>
                <w:rFonts w:ascii="宋体" w:hAnsi="宋体" w:eastAsia="宋体" w:cs="宋体"/>
                <w:spacing w:val="10"/>
                <w:sz w:val="53"/>
                <w:szCs w:val="53"/>
              </w:rPr>
              <w:t>案)手续</w:t>
            </w:r>
          </w:p>
        </w:tc>
        <w:tc>
          <w:tcPr>
            <w:tcW w:w="3203" w:type="dxa"/>
            <w:vAlign w:val="top"/>
          </w:tcPr>
          <w:p>
            <w:pPr>
              <w:spacing w:line="346" w:lineRule="auto"/>
              <w:rPr>
                <w:rFonts w:ascii="Arial"/>
                <w:sz w:val="21"/>
              </w:rPr>
            </w:pPr>
          </w:p>
          <w:p>
            <w:pPr>
              <w:spacing w:line="347" w:lineRule="auto"/>
              <w:rPr>
                <w:rFonts w:ascii="Arial"/>
                <w:sz w:val="21"/>
              </w:rPr>
            </w:pPr>
          </w:p>
          <w:p>
            <w:pPr>
              <w:spacing w:before="172" w:line="184" w:lineRule="auto"/>
              <w:ind w:left="1459"/>
              <w:rPr>
                <w:rFonts w:ascii="宋体" w:hAnsi="宋体" w:eastAsia="宋体" w:cs="宋体"/>
                <w:sz w:val="53"/>
                <w:szCs w:val="53"/>
              </w:rPr>
            </w:pPr>
            <w:r>
              <w:rPr>
                <w:rFonts w:ascii="宋体" w:hAnsi="宋体" w:eastAsia="宋体" w:cs="宋体"/>
                <w:sz w:val="53"/>
                <w:szCs w:val="53"/>
              </w:rPr>
              <w:t>0</w:t>
            </w:r>
          </w:p>
        </w:tc>
        <w:tc>
          <w:tcPr>
            <w:tcW w:w="7164" w:type="dxa"/>
            <w:vAlign w:val="top"/>
          </w:tcPr>
          <w:p>
            <w:pPr>
              <w:spacing w:line="275" w:lineRule="auto"/>
              <w:rPr>
                <w:rFonts w:ascii="Arial"/>
                <w:sz w:val="21"/>
              </w:rPr>
            </w:pPr>
          </w:p>
          <w:p>
            <w:pPr>
              <w:spacing w:line="276" w:lineRule="auto"/>
              <w:rPr>
                <w:rFonts w:ascii="Arial"/>
                <w:sz w:val="21"/>
              </w:rPr>
            </w:pPr>
          </w:p>
          <w:p>
            <w:pPr>
              <w:spacing w:before="173" w:line="221" w:lineRule="auto"/>
              <w:ind w:left="201"/>
              <w:rPr>
                <w:rFonts w:ascii="宋体" w:hAnsi="宋体" w:eastAsia="宋体" w:cs="宋体"/>
                <w:sz w:val="53"/>
                <w:szCs w:val="53"/>
              </w:rPr>
            </w:pPr>
            <w:r>
              <w:rPr>
                <w:rFonts w:ascii="宋体" w:hAnsi="宋体" w:eastAsia="宋体" w:cs="宋体"/>
                <w:spacing w:val="8"/>
                <w:sz w:val="53"/>
                <w:szCs w:val="53"/>
              </w:rPr>
              <w:t>从供电方案完成后开始计算</w:t>
            </w:r>
          </w:p>
        </w:tc>
        <w:tc>
          <w:tcPr>
            <w:tcW w:w="4052" w:type="dxa"/>
            <w:vAlign w:val="top"/>
          </w:tcPr>
          <w:p>
            <w:pPr>
              <w:spacing w:line="278" w:lineRule="auto"/>
              <w:rPr>
                <w:rFonts w:ascii="Arial"/>
                <w:sz w:val="21"/>
              </w:rPr>
            </w:pPr>
          </w:p>
          <w:p>
            <w:pPr>
              <w:spacing w:line="278" w:lineRule="auto"/>
              <w:rPr>
                <w:rFonts w:ascii="Arial"/>
                <w:sz w:val="21"/>
              </w:rPr>
            </w:pPr>
          </w:p>
          <w:p>
            <w:pPr>
              <w:spacing w:before="173" w:line="222" w:lineRule="auto"/>
              <w:ind w:left="950"/>
              <w:rPr>
                <w:rFonts w:ascii="宋体" w:hAnsi="宋体" w:eastAsia="宋体" w:cs="宋体"/>
                <w:sz w:val="53"/>
                <w:szCs w:val="53"/>
              </w:rPr>
            </w:pPr>
            <w:r>
              <w:rPr>
                <w:rFonts w:ascii="宋体" w:hAnsi="宋体" w:eastAsia="宋体" w:cs="宋体"/>
                <w:spacing w:val="10"/>
                <w:sz w:val="53"/>
                <w:szCs w:val="53"/>
              </w:rPr>
              <w:t>项目经理</w:t>
            </w:r>
          </w:p>
        </w:tc>
        <w:tc>
          <w:tcPr>
            <w:tcW w:w="3368" w:type="dxa"/>
            <w:vAlign w:val="top"/>
          </w:tcPr>
          <w:p>
            <w:pPr>
              <w:spacing w:line="277" w:lineRule="auto"/>
              <w:rPr>
                <w:rFonts w:ascii="Arial"/>
                <w:sz w:val="21"/>
              </w:rPr>
            </w:pPr>
          </w:p>
          <w:p>
            <w:pPr>
              <w:spacing w:line="278" w:lineRule="auto"/>
              <w:rPr>
                <w:rFonts w:ascii="Arial"/>
                <w:sz w:val="21"/>
              </w:rPr>
            </w:pPr>
          </w:p>
          <w:p>
            <w:pPr>
              <w:spacing w:before="172" w:line="221" w:lineRule="auto"/>
              <w:ind w:left="342"/>
              <w:rPr>
                <w:rFonts w:ascii="宋体" w:hAnsi="宋体" w:eastAsia="宋体" w:cs="宋体"/>
                <w:sz w:val="53"/>
                <w:szCs w:val="53"/>
              </w:rPr>
            </w:pPr>
            <w:r>
              <w:rPr>
                <w:rFonts w:ascii="宋体" w:hAnsi="宋体" w:eastAsia="宋体" w:cs="宋体"/>
                <w:color w:val="000A4A"/>
                <w:spacing w:val="11"/>
                <w:sz w:val="53"/>
                <w:szCs w:val="53"/>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1" w:hRule="atLeast"/>
        </w:trPr>
        <w:tc>
          <w:tcPr>
            <w:tcW w:w="3461" w:type="dxa"/>
            <w:vMerge w:val="continue"/>
            <w:tcBorders>
              <w:top w:val="nil"/>
              <w:bottom w:val="nil"/>
            </w:tcBorders>
            <w:vAlign w:val="top"/>
          </w:tcPr>
          <w:p>
            <w:pPr>
              <w:rPr>
                <w:rFonts w:ascii="Arial"/>
                <w:sz w:val="21"/>
              </w:rPr>
            </w:pPr>
          </w:p>
        </w:tc>
        <w:tc>
          <w:tcPr>
            <w:tcW w:w="4959" w:type="dxa"/>
            <w:vAlign w:val="top"/>
          </w:tcPr>
          <w:p>
            <w:pPr>
              <w:spacing w:line="264" w:lineRule="auto"/>
              <w:rPr>
                <w:rFonts w:ascii="Arial"/>
                <w:sz w:val="21"/>
              </w:rPr>
            </w:pPr>
          </w:p>
          <w:p>
            <w:pPr>
              <w:spacing w:before="172" w:line="222" w:lineRule="auto"/>
              <w:ind w:left="163"/>
              <w:rPr>
                <w:rFonts w:ascii="宋体" w:hAnsi="宋体" w:eastAsia="宋体" w:cs="宋体"/>
                <w:sz w:val="53"/>
                <w:szCs w:val="53"/>
              </w:rPr>
            </w:pPr>
            <w:r>
              <w:rPr>
                <w:rFonts w:ascii="宋体" w:hAnsi="宋体" w:eastAsia="宋体" w:cs="宋体"/>
                <w:spacing w:val="10"/>
                <w:sz w:val="53"/>
                <w:szCs w:val="53"/>
              </w:rPr>
              <w:t>电网配套工程实施</w:t>
            </w:r>
          </w:p>
        </w:tc>
        <w:tc>
          <w:tcPr>
            <w:tcW w:w="3203"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173" w:line="184" w:lineRule="auto"/>
              <w:ind w:left="1459"/>
              <w:rPr>
                <w:rFonts w:ascii="宋体" w:hAnsi="宋体" w:eastAsia="宋体" w:cs="宋体"/>
                <w:sz w:val="53"/>
                <w:szCs w:val="53"/>
              </w:rPr>
            </w:pPr>
            <w:r>
              <w:rPr>
                <w:rFonts w:ascii="宋体" w:hAnsi="宋体" w:eastAsia="宋体" w:cs="宋体"/>
                <w:sz w:val="53"/>
                <w:szCs w:val="53"/>
              </w:rPr>
              <w:t>3</w:t>
            </w:r>
          </w:p>
        </w:tc>
        <w:tc>
          <w:tcPr>
            <w:tcW w:w="7164" w:type="dxa"/>
            <w:vMerge w:val="restart"/>
            <w:tcBorders>
              <w:bottom w:val="nil"/>
            </w:tcBorders>
            <w:vAlign w:val="top"/>
          </w:tcPr>
          <w:p>
            <w:pPr>
              <w:spacing w:line="313" w:lineRule="auto"/>
              <w:rPr>
                <w:rFonts w:ascii="Arial"/>
                <w:sz w:val="21"/>
              </w:rPr>
            </w:pPr>
          </w:p>
          <w:p>
            <w:pPr>
              <w:spacing w:line="313" w:lineRule="auto"/>
              <w:rPr>
                <w:rFonts w:ascii="Arial"/>
                <w:sz w:val="21"/>
              </w:rPr>
            </w:pPr>
          </w:p>
          <w:p>
            <w:pPr>
              <w:spacing w:line="313" w:lineRule="auto"/>
              <w:rPr>
                <w:rFonts w:ascii="Arial"/>
                <w:sz w:val="21"/>
              </w:rPr>
            </w:pPr>
          </w:p>
          <w:p>
            <w:pPr>
              <w:spacing w:before="172" w:line="221" w:lineRule="auto"/>
              <w:ind w:left="201"/>
              <w:rPr>
                <w:rFonts w:ascii="宋体" w:hAnsi="宋体" w:eastAsia="宋体" w:cs="宋体"/>
                <w:sz w:val="53"/>
                <w:szCs w:val="53"/>
              </w:rPr>
            </w:pPr>
            <w:r>
              <w:rPr>
                <w:rFonts w:ascii="宋体" w:hAnsi="宋体" w:eastAsia="宋体" w:cs="宋体"/>
                <w:spacing w:val="8"/>
                <w:sz w:val="53"/>
                <w:szCs w:val="53"/>
              </w:rPr>
              <w:t>从备案手续办结后开始计算</w:t>
            </w:r>
          </w:p>
        </w:tc>
        <w:tc>
          <w:tcPr>
            <w:tcW w:w="4052" w:type="dxa"/>
            <w:vAlign w:val="top"/>
          </w:tcPr>
          <w:p>
            <w:pPr>
              <w:spacing w:line="264" w:lineRule="auto"/>
              <w:rPr>
                <w:rFonts w:ascii="Arial"/>
                <w:sz w:val="21"/>
              </w:rPr>
            </w:pPr>
          </w:p>
          <w:p>
            <w:pPr>
              <w:spacing w:before="172" w:line="222" w:lineRule="auto"/>
              <w:ind w:left="950"/>
              <w:rPr>
                <w:rFonts w:ascii="宋体" w:hAnsi="宋体" w:eastAsia="宋体" w:cs="宋体"/>
                <w:sz w:val="53"/>
                <w:szCs w:val="53"/>
              </w:rPr>
            </w:pPr>
            <w:r>
              <w:rPr>
                <w:rFonts w:ascii="宋体" w:hAnsi="宋体" w:eastAsia="宋体" w:cs="宋体"/>
                <w:spacing w:val="10"/>
                <w:sz w:val="53"/>
                <w:szCs w:val="53"/>
              </w:rPr>
              <w:t>项目经理</w:t>
            </w:r>
          </w:p>
        </w:tc>
        <w:tc>
          <w:tcPr>
            <w:tcW w:w="3368" w:type="dxa"/>
            <w:vAlign w:val="top"/>
          </w:tcPr>
          <w:p>
            <w:pPr>
              <w:spacing w:line="263" w:lineRule="auto"/>
              <w:rPr>
                <w:rFonts w:ascii="Arial"/>
                <w:sz w:val="21"/>
              </w:rPr>
            </w:pPr>
          </w:p>
          <w:p>
            <w:pPr>
              <w:spacing w:before="172" w:line="221" w:lineRule="auto"/>
              <w:ind w:left="342"/>
              <w:rPr>
                <w:rFonts w:ascii="宋体" w:hAnsi="宋体" w:eastAsia="宋体" w:cs="宋体"/>
                <w:sz w:val="53"/>
                <w:szCs w:val="53"/>
              </w:rPr>
            </w:pPr>
            <w:r>
              <w:rPr>
                <w:rFonts w:ascii="宋体" w:hAnsi="宋体" w:eastAsia="宋体" w:cs="宋体"/>
                <w:spacing w:val="11"/>
                <w:sz w:val="53"/>
                <w:szCs w:val="53"/>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461" w:type="dxa"/>
            <w:vMerge w:val="continue"/>
            <w:tcBorders>
              <w:top w:val="nil"/>
            </w:tcBorders>
            <w:vAlign w:val="top"/>
          </w:tcPr>
          <w:p>
            <w:pPr>
              <w:rPr>
                <w:rFonts w:ascii="Arial"/>
                <w:sz w:val="21"/>
              </w:rPr>
            </w:pPr>
          </w:p>
        </w:tc>
        <w:tc>
          <w:tcPr>
            <w:tcW w:w="4959" w:type="dxa"/>
            <w:vAlign w:val="top"/>
          </w:tcPr>
          <w:p>
            <w:pPr>
              <w:spacing w:line="266" w:lineRule="auto"/>
              <w:rPr>
                <w:rFonts w:ascii="Arial"/>
                <w:sz w:val="21"/>
              </w:rPr>
            </w:pPr>
          </w:p>
          <w:p>
            <w:pPr>
              <w:spacing w:before="173" w:line="223" w:lineRule="auto"/>
              <w:ind w:left="218"/>
              <w:rPr>
                <w:rFonts w:ascii="宋体" w:hAnsi="宋体" w:eastAsia="宋体" w:cs="宋体"/>
                <w:sz w:val="53"/>
                <w:szCs w:val="53"/>
              </w:rPr>
            </w:pPr>
            <w:r>
              <w:rPr>
                <w:rFonts w:ascii="宋体" w:hAnsi="宋体" w:eastAsia="宋体" w:cs="宋体"/>
                <w:spacing w:val="10"/>
                <w:sz w:val="53"/>
                <w:szCs w:val="53"/>
              </w:rPr>
              <w:t>正式接电</w:t>
            </w:r>
          </w:p>
        </w:tc>
        <w:tc>
          <w:tcPr>
            <w:tcW w:w="3203" w:type="dxa"/>
            <w:vMerge w:val="continue"/>
            <w:tcBorders>
              <w:top w:val="nil"/>
            </w:tcBorders>
            <w:vAlign w:val="top"/>
          </w:tcPr>
          <w:p>
            <w:pPr>
              <w:rPr>
                <w:rFonts w:ascii="Arial"/>
                <w:sz w:val="21"/>
              </w:rPr>
            </w:pPr>
          </w:p>
        </w:tc>
        <w:tc>
          <w:tcPr>
            <w:tcW w:w="7164" w:type="dxa"/>
            <w:vMerge w:val="continue"/>
            <w:tcBorders>
              <w:top w:val="nil"/>
            </w:tcBorders>
            <w:vAlign w:val="top"/>
          </w:tcPr>
          <w:p>
            <w:pPr>
              <w:rPr>
                <w:rFonts w:ascii="Arial"/>
                <w:sz w:val="21"/>
              </w:rPr>
            </w:pPr>
          </w:p>
        </w:tc>
        <w:tc>
          <w:tcPr>
            <w:tcW w:w="4052" w:type="dxa"/>
            <w:vAlign w:val="top"/>
          </w:tcPr>
          <w:p>
            <w:pPr>
              <w:spacing w:line="265" w:lineRule="auto"/>
              <w:rPr>
                <w:rFonts w:ascii="Arial"/>
                <w:sz w:val="21"/>
              </w:rPr>
            </w:pPr>
          </w:p>
          <w:p>
            <w:pPr>
              <w:spacing w:before="172" w:line="222" w:lineRule="auto"/>
              <w:ind w:left="950"/>
              <w:rPr>
                <w:rFonts w:ascii="宋体" w:hAnsi="宋体" w:eastAsia="宋体" w:cs="宋体"/>
                <w:sz w:val="53"/>
                <w:szCs w:val="53"/>
              </w:rPr>
            </w:pPr>
            <w:r>
              <w:rPr>
                <w:rFonts w:ascii="宋体" w:hAnsi="宋体" w:eastAsia="宋体" w:cs="宋体"/>
                <w:spacing w:val="10"/>
                <w:sz w:val="53"/>
                <w:szCs w:val="53"/>
              </w:rPr>
              <w:t>客户经理</w:t>
            </w:r>
          </w:p>
        </w:tc>
        <w:tc>
          <w:tcPr>
            <w:tcW w:w="3368" w:type="dxa"/>
            <w:vAlign w:val="top"/>
          </w:tcPr>
          <w:p>
            <w:pPr>
              <w:spacing w:line="264" w:lineRule="auto"/>
              <w:rPr>
                <w:rFonts w:ascii="Arial"/>
                <w:sz w:val="21"/>
              </w:rPr>
            </w:pPr>
          </w:p>
          <w:p>
            <w:pPr>
              <w:spacing w:before="172" w:line="221" w:lineRule="auto"/>
              <w:ind w:left="342"/>
              <w:rPr>
                <w:rFonts w:ascii="宋体" w:hAnsi="宋体" w:eastAsia="宋体" w:cs="宋体"/>
                <w:sz w:val="53"/>
                <w:szCs w:val="53"/>
              </w:rPr>
            </w:pPr>
            <w:r>
              <w:rPr>
                <w:rFonts w:ascii="宋体" w:hAnsi="宋体" w:eastAsia="宋体" w:cs="宋体"/>
                <w:spacing w:val="11"/>
                <w:sz w:val="53"/>
                <w:szCs w:val="53"/>
              </w:rPr>
              <w:t>营销服务部</w:t>
            </w:r>
          </w:p>
        </w:tc>
      </w:tr>
    </w:tbl>
    <w:p>
      <w:pPr>
        <w:rPr>
          <w:rFonts w:ascii="Arial"/>
          <w:sz w:val="21"/>
        </w:rPr>
      </w:pPr>
    </w:p>
    <w:p>
      <w:pPr>
        <w:sectPr>
          <w:footerReference r:id="rId4" w:type="default"/>
          <w:pgSz w:w="31680" w:h="22401"/>
          <w:pgMar w:top="1904" w:right="3712" w:bottom="3029" w:left="1755" w:header="0" w:footer="2552" w:gutter="0"/>
          <w:cols w:space="720" w:num="1"/>
        </w:sectPr>
      </w:pPr>
    </w:p>
    <w:p>
      <w:pPr>
        <w:spacing w:before="191" w:line="221" w:lineRule="auto"/>
        <w:rPr>
          <w:rFonts w:hint="eastAsia" w:ascii="黑体" w:hAnsi="黑体" w:eastAsia="黑体" w:cs="黑体"/>
          <w:b/>
          <w:bCs/>
          <w:spacing w:val="7"/>
          <w:sz w:val="59"/>
          <w:szCs w:val="59"/>
        </w:rPr>
      </w:pPr>
    </w:p>
    <w:p>
      <w:pPr>
        <w:spacing w:before="191" w:line="221" w:lineRule="auto"/>
        <w:ind w:left="8773"/>
        <w:rPr>
          <w:rFonts w:ascii="黑体" w:hAnsi="黑体" w:eastAsia="黑体" w:cs="黑体"/>
          <w:sz w:val="59"/>
          <w:szCs w:val="59"/>
        </w:rPr>
      </w:pPr>
      <w:r>
        <w:rPr>
          <w:rFonts w:ascii="黑体" w:hAnsi="黑体" w:eastAsia="黑体" w:cs="黑体"/>
          <w:b/>
          <w:bCs/>
          <w:spacing w:val="7"/>
          <w:sz w:val="59"/>
          <w:szCs w:val="59"/>
        </w:rPr>
        <w:t>低压</w:t>
      </w:r>
      <w:r>
        <w:rPr>
          <w:rFonts w:hint="eastAsia" w:ascii="黑体" w:hAnsi="黑体" w:eastAsia="黑体" w:cs="黑体"/>
          <w:b/>
          <w:bCs/>
          <w:spacing w:val="7"/>
          <w:sz w:val="59"/>
          <w:szCs w:val="59"/>
          <w:lang w:val="en-US" w:eastAsia="zh-CN"/>
        </w:rPr>
        <w:t>非三零</w:t>
      </w:r>
      <w:r>
        <w:rPr>
          <w:rFonts w:ascii="黑体" w:hAnsi="黑体" w:eastAsia="黑体" w:cs="黑体"/>
          <w:b/>
          <w:bCs/>
          <w:spacing w:val="7"/>
          <w:sz w:val="59"/>
          <w:szCs w:val="59"/>
        </w:rPr>
        <w:t>非居民流程及时限规定调整情况表</w:t>
      </w:r>
    </w:p>
    <w:p>
      <w:pPr>
        <w:spacing w:line="213" w:lineRule="exact"/>
      </w:pPr>
    </w:p>
    <w:tbl>
      <w:tblPr>
        <w:tblStyle w:val="28"/>
        <w:tblW w:w="262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61"/>
        <w:gridCol w:w="4959"/>
        <w:gridCol w:w="3203"/>
        <w:gridCol w:w="7164"/>
        <w:gridCol w:w="4052"/>
        <w:gridCol w:w="33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0" w:hRule="atLeast"/>
        </w:trPr>
        <w:tc>
          <w:tcPr>
            <w:tcW w:w="3461" w:type="dxa"/>
            <w:vAlign w:val="top"/>
          </w:tcPr>
          <w:p>
            <w:pPr>
              <w:spacing w:line="459" w:lineRule="auto"/>
              <w:rPr>
                <w:rFonts w:ascii="Arial"/>
                <w:sz w:val="21"/>
              </w:rPr>
            </w:pPr>
          </w:p>
          <w:p>
            <w:pPr>
              <w:spacing w:before="172" w:line="222" w:lineRule="auto"/>
              <w:ind w:left="631"/>
              <w:rPr>
                <w:rFonts w:ascii="宋体" w:hAnsi="宋体" w:eastAsia="宋体" w:cs="宋体"/>
                <w:sz w:val="53"/>
                <w:szCs w:val="53"/>
              </w:rPr>
            </w:pPr>
            <w:r>
              <w:rPr>
                <w:rFonts w:ascii="宋体" w:hAnsi="宋体" w:eastAsia="宋体" w:cs="宋体"/>
                <w:b/>
                <w:bCs/>
                <w:spacing w:val="3"/>
                <w:sz w:val="53"/>
                <w:szCs w:val="53"/>
              </w:rPr>
              <w:t>环节名称</w:t>
            </w:r>
          </w:p>
        </w:tc>
        <w:tc>
          <w:tcPr>
            <w:tcW w:w="4959" w:type="dxa"/>
            <w:vAlign w:val="top"/>
          </w:tcPr>
          <w:p>
            <w:pPr>
              <w:spacing w:line="459" w:lineRule="auto"/>
              <w:rPr>
                <w:rFonts w:ascii="Arial"/>
                <w:sz w:val="21"/>
              </w:rPr>
            </w:pPr>
          </w:p>
          <w:p>
            <w:pPr>
              <w:spacing w:before="172" w:line="222" w:lineRule="auto"/>
              <w:ind w:left="1297"/>
              <w:rPr>
                <w:rFonts w:ascii="宋体" w:hAnsi="宋体" w:eastAsia="宋体" w:cs="宋体"/>
                <w:sz w:val="53"/>
                <w:szCs w:val="53"/>
              </w:rPr>
            </w:pPr>
            <w:r>
              <w:rPr>
                <w:rFonts w:ascii="宋体" w:hAnsi="宋体" w:eastAsia="宋体" w:cs="宋体"/>
                <w:b/>
                <w:bCs/>
                <w:spacing w:val="3"/>
                <w:sz w:val="53"/>
                <w:szCs w:val="53"/>
              </w:rPr>
              <w:t>节点名称</w:t>
            </w:r>
          </w:p>
        </w:tc>
        <w:tc>
          <w:tcPr>
            <w:tcW w:w="3203" w:type="dxa"/>
            <w:vAlign w:val="top"/>
          </w:tcPr>
          <w:p>
            <w:pPr>
              <w:spacing w:line="459" w:lineRule="auto"/>
              <w:rPr>
                <w:rFonts w:ascii="Arial"/>
                <w:sz w:val="21"/>
              </w:rPr>
            </w:pPr>
          </w:p>
          <w:p>
            <w:pPr>
              <w:spacing w:before="172" w:line="222" w:lineRule="auto"/>
              <w:ind w:left="534"/>
              <w:rPr>
                <w:rFonts w:ascii="宋体" w:hAnsi="宋体" w:eastAsia="宋体" w:cs="宋体"/>
                <w:sz w:val="53"/>
                <w:szCs w:val="53"/>
              </w:rPr>
            </w:pPr>
            <w:r>
              <w:rPr>
                <w:rFonts w:ascii="宋体" w:hAnsi="宋体" w:eastAsia="宋体" w:cs="宋体"/>
                <w:b/>
                <w:bCs/>
                <w:spacing w:val="3"/>
                <w:sz w:val="53"/>
                <w:szCs w:val="53"/>
              </w:rPr>
              <w:t>规定时限</w:t>
            </w:r>
          </w:p>
        </w:tc>
        <w:tc>
          <w:tcPr>
            <w:tcW w:w="7164" w:type="dxa"/>
            <w:vAlign w:val="top"/>
          </w:tcPr>
          <w:p>
            <w:pPr>
              <w:spacing w:line="458" w:lineRule="auto"/>
              <w:rPr>
                <w:rFonts w:ascii="Arial"/>
                <w:sz w:val="21"/>
              </w:rPr>
            </w:pPr>
          </w:p>
          <w:p>
            <w:pPr>
              <w:spacing w:before="172" w:line="221" w:lineRule="auto"/>
              <w:ind w:left="2346"/>
              <w:rPr>
                <w:rFonts w:ascii="宋体" w:hAnsi="宋体" w:eastAsia="宋体" w:cs="宋体"/>
                <w:sz w:val="53"/>
                <w:szCs w:val="53"/>
              </w:rPr>
            </w:pPr>
            <w:r>
              <w:rPr>
                <w:rFonts w:ascii="宋体" w:hAnsi="宋体" w:eastAsia="宋体" w:cs="宋体"/>
                <w:b/>
                <w:bCs/>
                <w:spacing w:val="8"/>
                <w:sz w:val="53"/>
                <w:szCs w:val="53"/>
              </w:rPr>
              <w:t>计算规则</w:t>
            </w:r>
          </w:p>
        </w:tc>
        <w:tc>
          <w:tcPr>
            <w:tcW w:w="4052" w:type="dxa"/>
            <w:vAlign w:val="top"/>
          </w:tcPr>
          <w:p>
            <w:pPr>
              <w:spacing w:line="458" w:lineRule="auto"/>
              <w:rPr>
                <w:rFonts w:ascii="Arial"/>
                <w:sz w:val="21"/>
              </w:rPr>
            </w:pPr>
          </w:p>
          <w:p>
            <w:pPr>
              <w:spacing w:before="172" w:line="221" w:lineRule="auto"/>
              <w:ind w:left="1228"/>
              <w:rPr>
                <w:rFonts w:ascii="宋体" w:hAnsi="宋体" w:eastAsia="宋体" w:cs="宋体"/>
                <w:sz w:val="53"/>
                <w:szCs w:val="53"/>
              </w:rPr>
            </w:pPr>
            <w:r>
              <w:rPr>
                <w:rFonts w:ascii="宋体" w:hAnsi="宋体" w:eastAsia="宋体" w:cs="宋体"/>
                <w:b/>
                <w:bCs/>
                <w:spacing w:val="2"/>
                <w:sz w:val="53"/>
                <w:szCs w:val="53"/>
              </w:rPr>
              <w:t>责任人</w:t>
            </w:r>
          </w:p>
        </w:tc>
        <w:tc>
          <w:tcPr>
            <w:tcW w:w="3368" w:type="dxa"/>
            <w:vAlign w:val="top"/>
          </w:tcPr>
          <w:p>
            <w:pPr>
              <w:spacing w:line="458" w:lineRule="auto"/>
              <w:rPr>
                <w:rFonts w:ascii="Arial"/>
                <w:sz w:val="21"/>
              </w:rPr>
            </w:pPr>
          </w:p>
          <w:p>
            <w:pPr>
              <w:spacing w:before="172" w:line="221" w:lineRule="auto"/>
              <w:ind w:left="615"/>
              <w:rPr>
                <w:rFonts w:ascii="宋体" w:hAnsi="宋体" w:eastAsia="宋体" w:cs="宋体"/>
                <w:sz w:val="53"/>
                <w:szCs w:val="53"/>
              </w:rPr>
            </w:pPr>
            <w:r>
              <w:rPr>
                <w:rFonts w:ascii="宋体" w:hAnsi="宋体" w:eastAsia="宋体" w:cs="宋体"/>
                <w:b/>
                <w:bCs/>
                <w:spacing w:val="11"/>
                <w:sz w:val="53"/>
                <w:szCs w:val="53"/>
              </w:rPr>
              <w:t>归口部门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2" w:hRule="atLeast"/>
        </w:trPr>
        <w:tc>
          <w:tcPr>
            <w:tcW w:w="3461"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73" w:line="221" w:lineRule="auto"/>
              <w:ind w:left="624"/>
              <w:rPr>
                <w:rFonts w:hint="eastAsia" w:ascii="宋体" w:hAnsi="宋体" w:eastAsia="宋体" w:cs="宋体"/>
                <w:sz w:val="53"/>
                <w:szCs w:val="53"/>
                <w:lang w:eastAsia="zh-CN"/>
              </w:rPr>
            </w:pPr>
            <w:r>
              <w:rPr>
                <w:rFonts w:hint="eastAsia" w:ascii="宋体" w:hAnsi="宋体" w:eastAsia="宋体" w:cs="宋体"/>
                <w:spacing w:val="10"/>
                <w:sz w:val="53"/>
                <w:szCs w:val="53"/>
                <w:lang w:eastAsia="zh-CN"/>
              </w:rPr>
              <w:t>受理签约</w:t>
            </w:r>
          </w:p>
        </w:tc>
        <w:tc>
          <w:tcPr>
            <w:tcW w:w="495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172" w:line="221" w:lineRule="auto"/>
              <w:ind w:left="163"/>
              <w:rPr>
                <w:rFonts w:ascii="宋体" w:hAnsi="宋体" w:eastAsia="宋体" w:cs="宋体"/>
                <w:sz w:val="53"/>
                <w:szCs w:val="53"/>
              </w:rPr>
            </w:pPr>
            <w:r>
              <w:rPr>
                <w:rFonts w:ascii="宋体" w:hAnsi="宋体" w:eastAsia="宋体" w:cs="宋体"/>
                <w:spacing w:val="10"/>
                <w:sz w:val="53"/>
                <w:szCs w:val="53"/>
              </w:rPr>
              <w:t>业务受理</w:t>
            </w:r>
            <w:r>
              <w:rPr>
                <w:rFonts w:hint="eastAsia" w:ascii="宋体" w:hAnsi="宋体" w:eastAsia="宋体" w:cs="宋体"/>
                <w:spacing w:val="6"/>
                <w:sz w:val="54"/>
                <w:szCs w:val="54"/>
                <w:lang w:eastAsia="zh-CN"/>
              </w:rPr>
              <w:t>、</w:t>
            </w:r>
            <w:r>
              <w:rPr>
                <w:rFonts w:hint="eastAsia" w:ascii="宋体" w:hAnsi="宋体" w:eastAsia="宋体" w:cs="宋体"/>
                <w:spacing w:val="6"/>
                <w:sz w:val="54"/>
                <w:szCs w:val="54"/>
                <w:lang w:val="en-US" w:eastAsia="zh-CN"/>
              </w:rPr>
              <w:t>签订合同</w:t>
            </w:r>
          </w:p>
        </w:tc>
        <w:tc>
          <w:tcPr>
            <w:tcW w:w="3203"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173" w:line="184" w:lineRule="auto"/>
              <w:ind w:left="1194"/>
              <w:rPr>
                <w:rFonts w:ascii="宋体" w:hAnsi="宋体" w:eastAsia="宋体" w:cs="宋体"/>
                <w:sz w:val="53"/>
                <w:szCs w:val="53"/>
              </w:rPr>
            </w:pPr>
            <w:r>
              <w:rPr>
                <w:rFonts w:ascii="宋体" w:hAnsi="宋体" w:eastAsia="宋体" w:cs="宋体"/>
                <w:spacing w:val="-4"/>
                <w:sz w:val="53"/>
                <w:szCs w:val="53"/>
              </w:rPr>
              <w:t>0.5</w:t>
            </w:r>
          </w:p>
        </w:tc>
        <w:tc>
          <w:tcPr>
            <w:tcW w:w="7164" w:type="dxa"/>
            <w:vAlign w:val="top"/>
          </w:tcPr>
          <w:p>
            <w:pPr>
              <w:spacing w:before="240" w:line="221" w:lineRule="auto"/>
              <w:ind w:left="201"/>
              <w:rPr>
                <w:rFonts w:ascii="宋体" w:hAnsi="宋体" w:eastAsia="宋体" w:cs="宋体"/>
                <w:sz w:val="53"/>
                <w:szCs w:val="53"/>
              </w:rPr>
            </w:pPr>
            <w:r>
              <w:rPr>
                <w:rFonts w:ascii="宋体" w:hAnsi="宋体" w:eastAsia="宋体" w:cs="宋体"/>
                <w:color w:val="000441"/>
                <w:spacing w:val="7"/>
                <w:sz w:val="53"/>
                <w:szCs w:val="53"/>
              </w:rPr>
              <w:t>1.电子渠道从营销业务系统</w:t>
            </w:r>
          </w:p>
          <w:p>
            <w:pPr>
              <w:spacing w:before="148" w:line="221" w:lineRule="auto"/>
              <w:ind w:left="201"/>
              <w:rPr>
                <w:rFonts w:ascii="宋体" w:hAnsi="宋体" w:eastAsia="宋体" w:cs="宋体"/>
                <w:sz w:val="53"/>
                <w:szCs w:val="53"/>
              </w:rPr>
            </w:pPr>
            <w:r>
              <w:rPr>
                <w:rFonts w:ascii="宋体" w:hAnsi="宋体" w:eastAsia="宋体" w:cs="宋体"/>
                <w:spacing w:val="8"/>
                <w:sz w:val="53"/>
                <w:szCs w:val="53"/>
              </w:rPr>
              <w:t>收到业扩派单开始计算</w:t>
            </w:r>
          </w:p>
          <w:p>
            <w:pPr>
              <w:spacing w:before="117" w:line="718" w:lineRule="exact"/>
              <w:ind w:left="201"/>
              <w:rPr>
                <w:rFonts w:ascii="宋体" w:hAnsi="宋体" w:eastAsia="宋体" w:cs="宋体"/>
                <w:sz w:val="52"/>
                <w:szCs w:val="52"/>
              </w:rPr>
            </w:pPr>
            <w:r>
              <w:rPr>
                <w:rFonts w:ascii="宋体" w:hAnsi="宋体" w:eastAsia="宋体" w:cs="宋体"/>
                <w:spacing w:val="16"/>
                <w:position w:val="12"/>
                <w:sz w:val="52"/>
                <w:szCs w:val="52"/>
              </w:rPr>
              <w:t>2.营业厅渠道从启动业扩工</w:t>
            </w:r>
          </w:p>
          <w:p>
            <w:pPr>
              <w:spacing w:before="1" w:line="187" w:lineRule="auto"/>
              <w:ind w:left="201"/>
              <w:rPr>
                <w:rFonts w:ascii="宋体" w:hAnsi="宋体" w:eastAsia="宋体" w:cs="宋体"/>
                <w:sz w:val="52"/>
                <w:szCs w:val="52"/>
              </w:rPr>
            </w:pPr>
            <w:r>
              <w:rPr>
                <w:rFonts w:ascii="宋体" w:hAnsi="宋体" w:eastAsia="宋体" w:cs="宋体"/>
                <w:spacing w:val="20"/>
                <w:sz w:val="52"/>
                <w:szCs w:val="52"/>
              </w:rPr>
              <w:t>单开始计算</w:t>
            </w:r>
          </w:p>
        </w:tc>
        <w:tc>
          <w:tcPr>
            <w:tcW w:w="4052"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172" w:line="221" w:lineRule="auto"/>
              <w:ind w:left="414"/>
              <w:rPr>
                <w:rFonts w:ascii="宋体" w:hAnsi="宋体" w:eastAsia="宋体" w:cs="宋体"/>
                <w:sz w:val="53"/>
                <w:szCs w:val="53"/>
              </w:rPr>
            </w:pPr>
            <w:r>
              <w:rPr>
                <w:rFonts w:ascii="宋体" w:hAnsi="宋体" w:eastAsia="宋体" w:cs="宋体"/>
                <w:spacing w:val="18"/>
                <w:sz w:val="53"/>
                <w:szCs w:val="53"/>
              </w:rPr>
              <w:t>业务受理人员</w:t>
            </w:r>
          </w:p>
        </w:tc>
        <w:tc>
          <w:tcPr>
            <w:tcW w:w="3368"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73" w:line="221" w:lineRule="auto"/>
              <w:ind w:left="342"/>
              <w:rPr>
                <w:rFonts w:ascii="宋体" w:hAnsi="宋体" w:eastAsia="宋体" w:cs="宋体"/>
                <w:sz w:val="53"/>
                <w:szCs w:val="53"/>
              </w:rPr>
            </w:pPr>
            <w:r>
              <w:rPr>
                <w:rFonts w:ascii="宋体" w:hAnsi="宋体" w:eastAsia="宋体" w:cs="宋体"/>
                <w:spacing w:val="11"/>
                <w:sz w:val="53"/>
                <w:szCs w:val="53"/>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4" w:hRule="atLeast"/>
        </w:trPr>
        <w:tc>
          <w:tcPr>
            <w:tcW w:w="3461" w:type="dxa"/>
            <w:vMerge w:val="continue"/>
            <w:tcBorders>
              <w:top w:val="nil"/>
            </w:tcBorders>
            <w:vAlign w:val="top"/>
          </w:tcPr>
          <w:p>
            <w:pPr>
              <w:rPr>
                <w:rFonts w:ascii="Arial"/>
                <w:sz w:val="21"/>
              </w:rPr>
            </w:pPr>
          </w:p>
        </w:tc>
        <w:tc>
          <w:tcPr>
            <w:tcW w:w="4959" w:type="dxa"/>
            <w:vAlign w:val="top"/>
          </w:tcPr>
          <w:p>
            <w:pPr>
              <w:spacing w:line="363" w:lineRule="auto"/>
              <w:rPr>
                <w:rFonts w:ascii="Arial"/>
                <w:sz w:val="21"/>
              </w:rPr>
            </w:pPr>
          </w:p>
          <w:p>
            <w:pPr>
              <w:spacing w:before="108" w:line="221" w:lineRule="auto"/>
              <w:ind w:left="163"/>
              <w:rPr>
                <w:rFonts w:ascii="宋体" w:hAnsi="宋体" w:eastAsia="宋体" w:cs="宋体"/>
                <w:spacing w:val="10"/>
                <w:sz w:val="53"/>
                <w:szCs w:val="53"/>
              </w:rPr>
            </w:pPr>
            <w:r>
              <w:rPr>
                <w:rFonts w:ascii="宋体" w:hAnsi="宋体" w:eastAsia="宋体" w:cs="宋体"/>
                <w:spacing w:val="10"/>
                <w:sz w:val="53"/>
                <w:szCs w:val="53"/>
              </w:rPr>
              <w:t>现场勘察、</w:t>
            </w:r>
          </w:p>
          <w:p>
            <w:pPr>
              <w:spacing w:before="108" w:line="221" w:lineRule="auto"/>
              <w:ind w:left="163"/>
              <w:rPr>
                <w:rFonts w:ascii="宋体" w:hAnsi="宋体" w:eastAsia="宋体" w:cs="宋体"/>
                <w:sz w:val="53"/>
                <w:szCs w:val="53"/>
              </w:rPr>
            </w:pPr>
            <w:r>
              <w:rPr>
                <w:rFonts w:ascii="宋体" w:hAnsi="宋体" w:eastAsia="宋体" w:cs="宋体"/>
                <w:spacing w:val="10"/>
                <w:sz w:val="53"/>
                <w:szCs w:val="53"/>
              </w:rPr>
              <w:t>编制供电方案</w:t>
            </w:r>
          </w:p>
        </w:tc>
        <w:tc>
          <w:tcPr>
            <w:tcW w:w="3203"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172" w:line="185" w:lineRule="auto"/>
              <w:ind w:left="1459"/>
              <w:rPr>
                <w:rFonts w:ascii="宋体" w:hAnsi="宋体" w:eastAsia="宋体" w:cs="宋体"/>
                <w:sz w:val="53"/>
                <w:szCs w:val="53"/>
              </w:rPr>
            </w:pPr>
            <w:r>
              <w:rPr>
                <w:rFonts w:ascii="宋体" w:hAnsi="宋体" w:eastAsia="宋体" w:cs="宋体"/>
                <w:sz w:val="53"/>
                <w:szCs w:val="53"/>
              </w:rPr>
              <w:t>1</w:t>
            </w:r>
          </w:p>
        </w:tc>
        <w:tc>
          <w:tcPr>
            <w:tcW w:w="7164" w:type="dxa"/>
            <w:vAlign w:val="top"/>
          </w:tcPr>
          <w:p>
            <w:pPr>
              <w:spacing w:line="325" w:lineRule="auto"/>
              <w:rPr>
                <w:rFonts w:ascii="Arial"/>
                <w:sz w:val="21"/>
              </w:rPr>
            </w:pPr>
          </w:p>
          <w:p>
            <w:pPr>
              <w:spacing w:line="325" w:lineRule="auto"/>
              <w:rPr>
                <w:rFonts w:ascii="Arial"/>
                <w:sz w:val="21"/>
              </w:rPr>
            </w:pPr>
          </w:p>
          <w:p>
            <w:pPr>
              <w:spacing w:before="172" w:line="221" w:lineRule="auto"/>
              <w:ind w:left="201"/>
              <w:rPr>
                <w:rFonts w:ascii="宋体" w:hAnsi="宋体" w:eastAsia="宋体" w:cs="宋体"/>
                <w:sz w:val="53"/>
                <w:szCs w:val="53"/>
              </w:rPr>
            </w:pPr>
            <w:r>
              <w:rPr>
                <w:rFonts w:ascii="宋体" w:hAnsi="宋体" w:eastAsia="宋体" w:cs="宋体"/>
                <w:spacing w:val="8"/>
                <w:sz w:val="53"/>
                <w:szCs w:val="53"/>
              </w:rPr>
              <w:t>从申请受理完成后开始计算</w:t>
            </w:r>
          </w:p>
        </w:tc>
        <w:tc>
          <w:tcPr>
            <w:tcW w:w="4052" w:type="dxa"/>
            <w:vAlign w:val="top"/>
          </w:tcPr>
          <w:p>
            <w:pPr>
              <w:spacing w:line="325" w:lineRule="auto"/>
              <w:rPr>
                <w:rFonts w:ascii="Arial"/>
                <w:sz w:val="21"/>
              </w:rPr>
            </w:pPr>
          </w:p>
          <w:p>
            <w:pPr>
              <w:spacing w:line="326" w:lineRule="auto"/>
              <w:rPr>
                <w:rFonts w:ascii="Arial"/>
                <w:sz w:val="21"/>
              </w:rPr>
            </w:pPr>
          </w:p>
          <w:p>
            <w:pPr>
              <w:spacing w:before="173" w:line="222" w:lineRule="auto"/>
              <w:ind w:left="950"/>
              <w:rPr>
                <w:rFonts w:ascii="宋体" w:hAnsi="宋体" w:eastAsia="宋体" w:cs="宋体"/>
                <w:sz w:val="53"/>
                <w:szCs w:val="53"/>
              </w:rPr>
            </w:pPr>
            <w:r>
              <w:rPr>
                <w:rFonts w:ascii="宋体" w:hAnsi="宋体" w:eastAsia="宋体" w:cs="宋体"/>
                <w:spacing w:val="10"/>
                <w:sz w:val="53"/>
                <w:szCs w:val="53"/>
              </w:rPr>
              <w:t>客户经理</w:t>
            </w:r>
          </w:p>
        </w:tc>
        <w:tc>
          <w:tcPr>
            <w:tcW w:w="3368"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3461" w:type="dxa"/>
            <w:vMerge w:val="restart"/>
            <w:tcBorders>
              <w:bottom w:val="nil"/>
            </w:tcBorders>
            <w:vAlign w:val="top"/>
          </w:tcPr>
          <w:p>
            <w:pPr>
              <w:spacing w:line="274" w:lineRule="auto"/>
              <w:rPr>
                <w:rFonts w:ascii="Arial"/>
                <w:sz w:val="21"/>
              </w:rPr>
            </w:pPr>
          </w:p>
          <w:p>
            <w:pPr>
              <w:pStyle w:val="2"/>
            </w:pPr>
          </w:p>
          <w:p>
            <w:pPr>
              <w:spacing w:before="173" w:line="223" w:lineRule="auto"/>
              <w:ind w:left="624"/>
              <w:rPr>
                <w:rFonts w:ascii="宋体" w:hAnsi="宋体" w:eastAsia="宋体" w:cs="宋体"/>
                <w:sz w:val="53"/>
                <w:szCs w:val="53"/>
              </w:rPr>
            </w:pPr>
            <w:r>
              <w:rPr>
                <w:rFonts w:ascii="宋体" w:hAnsi="宋体" w:eastAsia="宋体" w:cs="宋体"/>
                <w:spacing w:val="13"/>
                <w:sz w:val="53"/>
                <w:szCs w:val="53"/>
              </w:rPr>
              <w:t>施工接电</w:t>
            </w:r>
          </w:p>
        </w:tc>
        <w:tc>
          <w:tcPr>
            <w:tcW w:w="4959" w:type="dxa"/>
            <w:vMerge w:val="restart"/>
            <w:vAlign w:val="top"/>
          </w:tcPr>
          <w:p>
            <w:pPr>
              <w:spacing w:line="264" w:lineRule="auto"/>
              <w:rPr>
                <w:rFonts w:ascii="Arial"/>
                <w:sz w:val="21"/>
              </w:rPr>
            </w:pPr>
          </w:p>
          <w:p>
            <w:pPr>
              <w:spacing w:line="266" w:lineRule="auto"/>
              <w:rPr>
                <w:rFonts w:ascii="Arial"/>
                <w:sz w:val="21"/>
              </w:rPr>
            </w:pPr>
          </w:p>
          <w:p>
            <w:pPr>
              <w:spacing w:before="173" w:line="223" w:lineRule="auto"/>
              <w:ind w:left="218"/>
              <w:rPr>
                <w:rFonts w:ascii="宋体" w:hAnsi="宋体" w:eastAsia="宋体" w:cs="宋体"/>
                <w:sz w:val="53"/>
                <w:szCs w:val="53"/>
              </w:rPr>
            </w:pPr>
            <w:r>
              <w:rPr>
                <w:rFonts w:ascii="宋体" w:hAnsi="宋体" w:eastAsia="宋体" w:cs="宋体"/>
                <w:spacing w:val="10"/>
                <w:sz w:val="53"/>
                <w:szCs w:val="53"/>
              </w:rPr>
              <w:t>正式接电</w:t>
            </w:r>
          </w:p>
        </w:tc>
        <w:tc>
          <w:tcPr>
            <w:tcW w:w="3203" w:type="dxa"/>
            <w:vMerge w:val="restart"/>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173" w:line="184" w:lineRule="auto"/>
              <w:ind w:left="1459"/>
              <w:rPr>
                <w:rFonts w:ascii="宋体" w:hAnsi="宋体" w:eastAsia="宋体" w:cs="宋体"/>
                <w:sz w:val="53"/>
                <w:szCs w:val="53"/>
              </w:rPr>
            </w:pPr>
            <w:r>
              <w:rPr>
                <w:rFonts w:ascii="宋体" w:hAnsi="宋体" w:eastAsia="宋体" w:cs="宋体"/>
                <w:sz w:val="53"/>
                <w:szCs w:val="53"/>
              </w:rPr>
              <w:t>3</w:t>
            </w:r>
          </w:p>
        </w:tc>
        <w:tc>
          <w:tcPr>
            <w:tcW w:w="7164" w:type="dxa"/>
            <w:vMerge w:val="restart"/>
            <w:vAlign w:val="top"/>
          </w:tcPr>
          <w:p>
            <w:pPr>
              <w:spacing w:line="313" w:lineRule="auto"/>
              <w:rPr>
                <w:rFonts w:ascii="Arial"/>
                <w:sz w:val="21"/>
              </w:rPr>
            </w:pPr>
          </w:p>
          <w:p>
            <w:pPr>
              <w:spacing w:line="313" w:lineRule="auto"/>
              <w:rPr>
                <w:rFonts w:ascii="Arial"/>
                <w:sz w:val="21"/>
              </w:rPr>
            </w:pPr>
          </w:p>
          <w:p>
            <w:pPr>
              <w:spacing w:before="172" w:line="221" w:lineRule="auto"/>
              <w:ind w:left="201"/>
              <w:rPr>
                <w:rFonts w:ascii="宋体" w:hAnsi="宋体" w:eastAsia="宋体" w:cs="宋体"/>
                <w:sz w:val="53"/>
                <w:szCs w:val="53"/>
              </w:rPr>
            </w:pPr>
            <w:r>
              <w:rPr>
                <w:rFonts w:ascii="宋体" w:hAnsi="宋体" w:eastAsia="宋体" w:cs="宋体"/>
                <w:spacing w:val="8"/>
                <w:sz w:val="53"/>
                <w:szCs w:val="53"/>
              </w:rPr>
              <w:t>从</w:t>
            </w:r>
            <w:r>
              <w:rPr>
                <w:rFonts w:hint="eastAsia" w:ascii="宋体" w:hAnsi="宋体" w:eastAsia="宋体" w:cs="宋体"/>
                <w:spacing w:val="8"/>
                <w:sz w:val="53"/>
                <w:szCs w:val="53"/>
                <w:lang w:val="en-US" w:eastAsia="zh-CN"/>
              </w:rPr>
              <w:t>客户受电工程完工后</w:t>
            </w:r>
            <w:r>
              <w:rPr>
                <w:rFonts w:ascii="宋体" w:hAnsi="宋体" w:eastAsia="宋体" w:cs="宋体"/>
                <w:spacing w:val="8"/>
                <w:sz w:val="53"/>
                <w:szCs w:val="53"/>
              </w:rPr>
              <w:t>开始计算</w:t>
            </w:r>
          </w:p>
        </w:tc>
        <w:tc>
          <w:tcPr>
            <w:tcW w:w="4052" w:type="dxa"/>
            <w:vAlign w:val="top"/>
          </w:tcPr>
          <w:p>
            <w:pPr>
              <w:spacing w:line="264" w:lineRule="auto"/>
              <w:rPr>
                <w:rFonts w:ascii="Arial"/>
                <w:sz w:val="21"/>
              </w:rPr>
            </w:pPr>
          </w:p>
          <w:p>
            <w:pPr>
              <w:spacing w:before="172" w:line="222" w:lineRule="auto"/>
              <w:ind w:left="950"/>
              <w:rPr>
                <w:rFonts w:ascii="宋体" w:hAnsi="宋体" w:eastAsia="宋体" w:cs="宋体"/>
                <w:sz w:val="53"/>
                <w:szCs w:val="53"/>
              </w:rPr>
            </w:pPr>
            <w:r>
              <w:rPr>
                <w:rFonts w:ascii="宋体" w:hAnsi="宋体" w:eastAsia="宋体" w:cs="宋体"/>
                <w:spacing w:val="10"/>
                <w:sz w:val="53"/>
                <w:szCs w:val="53"/>
              </w:rPr>
              <w:t>项目经理</w:t>
            </w:r>
          </w:p>
        </w:tc>
        <w:tc>
          <w:tcPr>
            <w:tcW w:w="3368" w:type="dxa"/>
            <w:vAlign w:val="top"/>
          </w:tcPr>
          <w:p>
            <w:pPr>
              <w:spacing w:line="263" w:lineRule="auto"/>
              <w:rPr>
                <w:rFonts w:ascii="Arial"/>
                <w:sz w:val="21"/>
              </w:rPr>
            </w:pPr>
          </w:p>
          <w:p>
            <w:pPr>
              <w:spacing w:before="172" w:line="221" w:lineRule="auto"/>
              <w:ind w:left="342"/>
              <w:rPr>
                <w:rFonts w:ascii="宋体" w:hAnsi="宋体" w:eastAsia="宋体" w:cs="宋体"/>
                <w:sz w:val="53"/>
                <w:szCs w:val="53"/>
              </w:rPr>
            </w:pPr>
            <w:r>
              <w:rPr>
                <w:rFonts w:ascii="宋体" w:hAnsi="宋体" w:eastAsia="宋体" w:cs="宋体"/>
                <w:spacing w:val="11"/>
                <w:sz w:val="53"/>
                <w:szCs w:val="53"/>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461" w:type="dxa"/>
            <w:vMerge w:val="continue"/>
            <w:tcBorders>
              <w:top w:val="nil"/>
            </w:tcBorders>
            <w:vAlign w:val="top"/>
          </w:tcPr>
          <w:p>
            <w:pPr>
              <w:rPr>
                <w:rFonts w:ascii="Arial"/>
                <w:sz w:val="21"/>
              </w:rPr>
            </w:pPr>
          </w:p>
        </w:tc>
        <w:tc>
          <w:tcPr>
            <w:tcW w:w="4959" w:type="dxa"/>
            <w:vMerge w:val="continue"/>
            <w:vAlign w:val="top"/>
          </w:tcPr>
          <w:p>
            <w:pPr>
              <w:spacing w:before="173" w:line="223" w:lineRule="auto"/>
              <w:ind w:left="218"/>
              <w:rPr>
                <w:rFonts w:ascii="宋体" w:hAnsi="宋体" w:eastAsia="宋体" w:cs="宋体"/>
                <w:sz w:val="53"/>
                <w:szCs w:val="53"/>
              </w:rPr>
            </w:pPr>
          </w:p>
        </w:tc>
        <w:tc>
          <w:tcPr>
            <w:tcW w:w="3203" w:type="dxa"/>
            <w:vMerge w:val="continue"/>
            <w:vAlign w:val="top"/>
          </w:tcPr>
          <w:p>
            <w:pPr>
              <w:rPr>
                <w:rFonts w:ascii="Arial"/>
                <w:sz w:val="21"/>
              </w:rPr>
            </w:pPr>
          </w:p>
        </w:tc>
        <w:tc>
          <w:tcPr>
            <w:tcW w:w="7164" w:type="dxa"/>
            <w:vMerge w:val="continue"/>
            <w:vAlign w:val="top"/>
          </w:tcPr>
          <w:p>
            <w:pPr>
              <w:rPr>
                <w:rFonts w:ascii="Arial"/>
                <w:sz w:val="21"/>
              </w:rPr>
            </w:pPr>
          </w:p>
        </w:tc>
        <w:tc>
          <w:tcPr>
            <w:tcW w:w="4052" w:type="dxa"/>
            <w:vAlign w:val="top"/>
          </w:tcPr>
          <w:p>
            <w:pPr>
              <w:spacing w:line="265" w:lineRule="auto"/>
              <w:rPr>
                <w:rFonts w:ascii="Arial"/>
                <w:sz w:val="21"/>
              </w:rPr>
            </w:pPr>
          </w:p>
          <w:p>
            <w:pPr>
              <w:spacing w:before="172" w:line="222" w:lineRule="auto"/>
              <w:ind w:left="950"/>
              <w:rPr>
                <w:rFonts w:ascii="宋体" w:hAnsi="宋体" w:eastAsia="宋体" w:cs="宋体"/>
                <w:sz w:val="53"/>
                <w:szCs w:val="53"/>
              </w:rPr>
            </w:pPr>
            <w:r>
              <w:rPr>
                <w:rFonts w:ascii="宋体" w:hAnsi="宋体" w:eastAsia="宋体" w:cs="宋体"/>
                <w:spacing w:val="10"/>
                <w:sz w:val="53"/>
                <w:szCs w:val="53"/>
              </w:rPr>
              <w:t>客户经理</w:t>
            </w:r>
          </w:p>
        </w:tc>
        <w:tc>
          <w:tcPr>
            <w:tcW w:w="3368" w:type="dxa"/>
            <w:vAlign w:val="top"/>
          </w:tcPr>
          <w:p>
            <w:pPr>
              <w:spacing w:line="264" w:lineRule="auto"/>
              <w:rPr>
                <w:rFonts w:ascii="Arial"/>
                <w:sz w:val="21"/>
              </w:rPr>
            </w:pPr>
          </w:p>
          <w:p>
            <w:pPr>
              <w:spacing w:before="172" w:line="221" w:lineRule="auto"/>
              <w:ind w:left="342"/>
              <w:rPr>
                <w:rFonts w:ascii="宋体" w:hAnsi="宋体" w:eastAsia="宋体" w:cs="宋体"/>
                <w:sz w:val="53"/>
                <w:szCs w:val="53"/>
              </w:rPr>
            </w:pPr>
            <w:r>
              <w:rPr>
                <w:rFonts w:ascii="宋体" w:hAnsi="宋体" w:eastAsia="宋体" w:cs="宋体"/>
                <w:spacing w:val="11"/>
                <w:sz w:val="53"/>
                <w:szCs w:val="53"/>
              </w:rPr>
              <w:t>营销服务部</w:t>
            </w:r>
          </w:p>
        </w:tc>
      </w:tr>
    </w:tbl>
    <w:p>
      <w:pPr>
        <w:spacing w:before="191" w:line="221" w:lineRule="auto"/>
        <w:jc w:val="center"/>
        <w:rPr>
          <w:rFonts w:hint="eastAsia" w:ascii="黑体" w:hAnsi="黑体" w:eastAsia="黑体" w:cs="黑体"/>
          <w:b/>
          <w:bCs/>
          <w:spacing w:val="7"/>
          <w:sz w:val="59"/>
          <w:szCs w:val="59"/>
        </w:rPr>
      </w:pPr>
    </w:p>
    <w:p>
      <w:pPr>
        <w:spacing w:before="191" w:line="221" w:lineRule="auto"/>
        <w:jc w:val="center"/>
        <w:rPr>
          <w:rFonts w:hint="eastAsia" w:ascii="黑体" w:hAnsi="黑体" w:eastAsia="黑体" w:cs="黑体"/>
          <w:b/>
          <w:bCs/>
          <w:spacing w:val="7"/>
          <w:sz w:val="59"/>
          <w:szCs w:val="59"/>
        </w:rPr>
      </w:pPr>
    </w:p>
    <w:p>
      <w:pPr>
        <w:spacing w:before="191" w:line="221" w:lineRule="auto"/>
        <w:jc w:val="center"/>
        <w:rPr>
          <w:rFonts w:hint="eastAsia" w:ascii="黑体" w:hAnsi="黑体" w:eastAsia="黑体" w:cs="黑体"/>
          <w:b/>
          <w:bCs/>
          <w:spacing w:val="7"/>
          <w:sz w:val="59"/>
          <w:szCs w:val="59"/>
        </w:rPr>
      </w:pPr>
    </w:p>
    <w:p>
      <w:pPr>
        <w:spacing w:before="191" w:line="221" w:lineRule="auto"/>
        <w:jc w:val="center"/>
        <w:rPr>
          <w:rFonts w:hint="eastAsia" w:ascii="黑体" w:hAnsi="黑体" w:eastAsia="黑体" w:cs="黑体"/>
          <w:b/>
          <w:bCs/>
          <w:spacing w:val="7"/>
          <w:sz w:val="59"/>
          <w:szCs w:val="59"/>
        </w:rPr>
      </w:pPr>
    </w:p>
    <w:p>
      <w:pPr>
        <w:pStyle w:val="2"/>
        <w:rPr>
          <w:rFonts w:hint="eastAsia" w:ascii="黑体" w:hAnsi="黑体" w:eastAsia="黑体" w:cs="黑体"/>
          <w:b/>
          <w:bCs/>
          <w:spacing w:val="7"/>
          <w:sz w:val="59"/>
          <w:szCs w:val="59"/>
        </w:rPr>
      </w:pPr>
    </w:p>
    <w:p>
      <w:pPr>
        <w:rPr>
          <w:rFonts w:hint="eastAsia" w:ascii="黑体" w:hAnsi="黑体" w:eastAsia="黑体" w:cs="黑体"/>
          <w:b/>
          <w:bCs/>
          <w:spacing w:val="7"/>
          <w:sz w:val="59"/>
          <w:szCs w:val="59"/>
        </w:rPr>
      </w:pPr>
    </w:p>
    <w:p>
      <w:pPr>
        <w:pStyle w:val="2"/>
        <w:rPr>
          <w:rFonts w:hint="eastAsia"/>
        </w:rPr>
      </w:pPr>
    </w:p>
    <w:p>
      <w:pPr>
        <w:spacing w:before="191" w:line="221" w:lineRule="auto"/>
        <w:jc w:val="center"/>
        <w:rPr>
          <w:rFonts w:ascii="黑体" w:hAnsi="黑体" w:eastAsia="黑体" w:cs="黑体"/>
          <w:sz w:val="59"/>
          <w:szCs w:val="59"/>
        </w:rPr>
      </w:pPr>
      <w:r>
        <w:rPr>
          <w:rFonts w:hint="eastAsia" w:ascii="黑体" w:hAnsi="黑体" w:eastAsia="黑体" w:cs="黑体"/>
          <w:b/>
          <w:bCs/>
          <w:spacing w:val="7"/>
          <w:sz w:val="59"/>
          <w:szCs w:val="59"/>
        </w:rPr>
        <w:t>10千伏</w:t>
      </w:r>
      <w:r>
        <w:rPr>
          <w:rFonts w:hint="eastAsia" w:ascii="黑体" w:hAnsi="黑体" w:eastAsia="黑体" w:cs="黑体"/>
          <w:b/>
          <w:bCs/>
          <w:spacing w:val="7"/>
          <w:sz w:val="59"/>
          <w:szCs w:val="59"/>
          <w:lang w:eastAsia="zh-CN"/>
        </w:rPr>
        <w:t>报装项目</w:t>
      </w:r>
      <w:r>
        <w:rPr>
          <w:rFonts w:hint="eastAsia" w:ascii="黑体" w:hAnsi="黑体" w:eastAsia="黑体" w:cs="黑体"/>
          <w:b/>
          <w:bCs/>
          <w:spacing w:val="7"/>
          <w:sz w:val="59"/>
          <w:szCs w:val="59"/>
        </w:rPr>
        <w:t>流程及时限规定调整情况表</w:t>
      </w:r>
    </w:p>
    <w:p>
      <w:pPr>
        <w:spacing w:line="213" w:lineRule="exact"/>
      </w:pPr>
    </w:p>
    <w:tbl>
      <w:tblPr>
        <w:tblStyle w:val="28"/>
        <w:tblW w:w="255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4"/>
        <w:gridCol w:w="4350"/>
        <w:gridCol w:w="2250"/>
        <w:gridCol w:w="1950"/>
        <w:gridCol w:w="8950"/>
        <w:gridCol w:w="3013"/>
        <w:gridCol w:w="34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1634" w:type="dxa"/>
            <w:vMerge w:val="restart"/>
            <w:vAlign w:val="center"/>
          </w:tcPr>
          <w:p>
            <w:pPr>
              <w:spacing w:before="172" w:line="222" w:lineRule="auto"/>
              <w:jc w:val="center"/>
              <w:rPr>
                <w:rFonts w:ascii="宋体" w:hAnsi="宋体" w:eastAsia="宋体" w:cs="宋体"/>
                <w:color w:val="auto"/>
                <w:sz w:val="53"/>
                <w:szCs w:val="53"/>
              </w:rPr>
            </w:pPr>
            <w:r>
              <w:rPr>
                <w:rFonts w:ascii="宋体" w:hAnsi="宋体" w:eastAsia="宋体" w:cs="宋体"/>
                <w:b/>
                <w:bCs/>
                <w:color w:val="auto"/>
                <w:spacing w:val="3"/>
                <w:sz w:val="53"/>
                <w:szCs w:val="53"/>
              </w:rPr>
              <w:t>环节名称</w:t>
            </w:r>
          </w:p>
        </w:tc>
        <w:tc>
          <w:tcPr>
            <w:tcW w:w="4350" w:type="dxa"/>
            <w:vMerge w:val="restart"/>
            <w:vAlign w:val="center"/>
          </w:tcPr>
          <w:p>
            <w:pPr>
              <w:spacing w:before="172" w:line="222" w:lineRule="auto"/>
              <w:jc w:val="center"/>
              <w:rPr>
                <w:rFonts w:ascii="宋体" w:hAnsi="宋体" w:eastAsia="宋体" w:cs="宋体"/>
                <w:color w:val="auto"/>
                <w:sz w:val="53"/>
                <w:szCs w:val="53"/>
              </w:rPr>
            </w:pPr>
            <w:r>
              <w:rPr>
                <w:rFonts w:ascii="宋体" w:hAnsi="宋体" w:eastAsia="宋体" w:cs="宋体"/>
                <w:b/>
                <w:bCs/>
                <w:color w:val="auto"/>
                <w:spacing w:val="3"/>
                <w:sz w:val="53"/>
                <w:szCs w:val="53"/>
              </w:rPr>
              <w:t>节点名称</w:t>
            </w:r>
          </w:p>
        </w:tc>
        <w:tc>
          <w:tcPr>
            <w:tcW w:w="4200" w:type="dxa"/>
            <w:gridSpan w:val="2"/>
            <w:vAlign w:val="center"/>
          </w:tcPr>
          <w:p>
            <w:pPr>
              <w:spacing w:before="172" w:line="222" w:lineRule="auto"/>
              <w:jc w:val="center"/>
              <w:rPr>
                <w:rFonts w:ascii="宋体" w:hAnsi="宋体" w:eastAsia="宋体" w:cs="宋体"/>
                <w:b/>
                <w:bCs/>
                <w:color w:val="auto"/>
                <w:spacing w:val="3"/>
                <w:sz w:val="53"/>
                <w:szCs w:val="53"/>
              </w:rPr>
            </w:pPr>
            <w:r>
              <w:rPr>
                <w:rFonts w:ascii="宋体" w:hAnsi="宋体" w:eastAsia="宋体" w:cs="宋体"/>
                <w:b/>
                <w:bCs/>
                <w:color w:val="auto"/>
                <w:spacing w:val="3"/>
                <w:sz w:val="53"/>
                <w:szCs w:val="53"/>
              </w:rPr>
              <w:t>规定时限</w:t>
            </w:r>
          </w:p>
        </w:tc>
        <w:tc>
          <w:tcPr>
            <w:tcW w:w="8950" w:type="dxa"/>
            <w:vMerge w:val="restart"/>
            <w:vAlign w:val="center"/>
          </w:tcPr>
          <w:p>
            <w:pPr>
              <w:spacing w:before="172" w:line="221" w:lineRule="auto"/>
              <w:jc w:val="center"/>
              <w:rPr>
                <w:rFonts w:ascii="宋体" w:hAnsi="宋体" w:eastAsia="宋体" w:cs="宋体"/>
                <w:color w:val="auto"/>
                <w:sz w:val="53"/>
                <w:szCs w:val="53"/>
              </w:rPr>
            </w:pPr>
            <w:r>
              <w:rPr>
                <w:rFonts w:ascii="宋体" w:hAnsi="宋体" w:eastAsia="宋体" w:cs="宋体"/>
                <w:b/>
                <w:bCs/>
                <w:color w:val="auto"/>
                <w:spacing w:val="8"/>
                <w:sz w:val="53"/>
                <w:szCs w:val="53"/>
              </w:rPr>
              <w:t>计算规则</w:t>
            </w:r>
          </w:p>
        </w:tc>
        <w:tc>
          <w:tcPr>
            <w:tcW w:w="3013" w:type="dxa"/>
            <w:vMerge w:val="restart"/>
            <w:vAlign w:val="center"/>
          </w:tcPr>
          <w:p>
            <w:pPr>
              <w:spacing w:before="172" w:line="221" w:lineRule="auto"/>
              <w:jc w:val="center"/>
              <w:rPr>
                <w:rFonts w:ascii="宋体" w:hAnsi="宋体" w:eastAsia="宋体" w:cs="宋体"/>
                <w:color w:val="auto"/>
                <w:sz w:val="53"/>
                <w:szCs w:val="53"/>
              </w:rPr>
            </w:pPr>
            <w:r>
              <w:rPr>
                <w:rFonts w:ascii="宋体" w:hAnsi="宋体" w:eastAsia="宋体" w:cs="宋体"/>
                <w:b/>
                <w:bCs/>
                <w:color w:val="auto"/>
                <w:spacing w:val="2"/>
                <w:sz w:val="53"/>
                <w:szCs w:val="53"/>
              </w:rPr>
              <w:t>责任人</w:t>
            </w:r>
          </w:p>
        </w:tc>
        <w:tc>
          <w:tcPr>
            <w:tcW w:w="3400" w:type="dxa"/>
            <w:vMerge w:val="restart"/>
            <w:vAlign w:val="center"/>
          </w:tcPr>
          <w:p>
            <w:pPr>
              <w:spacing w:before="172" w:line="221" w:lineRule="auto"/>
              <w:jc w:val="center"/>
              <w:rPr>
                <w:rFonts w:ascii="宋体" w:hAnsi="宋体" w:eastAsia="宋体" w:cs="宋体"/>
                <w:color w:val="auto"/>
                <w:sz w:val="53"/>
                <w:szCs w:val="53"/>
              </w:rPr>
            </w:pPr>
            <w:r>
              <w:rPr>
                <w:rFonts w:ascii="宋体" w:hAnsi="宋体" w:eastAsia="宋体" w:cs="宋体"/>
                <w:b/>
                <w:bCs/>
                <w:color w:val="auto"/>
                <w:spacing w:val="11"/>
                <w:sz w:val="53"/>
                <w:szCs w:val="53"/>
              </w:rPr>
              <w:t>归口部门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1634" w:type="dxa"/>
            <w:vMerge w:val="continue"/>
            <w:tcBorders>
              <w:bottom w:val="single" w:color="auto" w:sz="4" w:space="0"/>
            </w:tcBorders>
            <w:vAlign w:val="center"/>
          </w:tcPr>
          <w:p>
            <w:pPr>
              <w:spacing w:before="173" w:line="221" w:lineRule="auto"/>
              <w:jc w:val="center"/>
              <w:rPr>
                <w:rFonts w:ascii="宋体" w:hAnsi="宋体" w:eastAsia="宋体" w:cs="宋体"/>
                <w:color w:val="auto"/>
                <w:spacing w:val="4"/>
                <w:sz w:val="56"/>
                <w:szCs w:val="56"/>
              </w:rPr>
            </w:pPr>
          </w:p>
        </w:tc>
        <w:tc>
          <w:tcPr>
            <w:tcW w:w="4350" w:type="dxa"/>
            <w:vMerge w:val="continue"/>
            <w:vAlign w:val="center"/>
          </w:tcPr>
          <w:p>
            <w:pPr>
              <w:spacing w:before="172" w:line="221" w:lineRule="auto"/>
              <w:jc w:val="center"/>
              <w:rPr>
                <w:rFonts w:ascii="宋体" w:hAnsi="宋体" w:eastAsia="宋体" w:cs="宋体"/>
                <w:color w:val="auto"/>
                <w:spacing w:val="10"/>
                <w:sz w:val="53"/>
                <w:szCs w:val="53"/>
              </w:rPr>
            </w:pPr>
          </w:p>
        </w:tc>
        <w:tc>
          <w:tcPr>
            <w:tcW w:w="2250" w:type="dxa"/>
            <w:vAlign w:val="center"/>
          </w:tcPr>
          <w:p>
            <w:pPr>
              <w:spacing w:before="173" w:line="184" w:lineRule="auto"/>
              <w:jc w:val="center"/>
              <w:rPr>
                <w:rFonts w:hint="eastAsia"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单电源</w:t>
            </w:r>
          </w:p>
        </w:tc>
        <w:tc>
          <w:tcPr>
            <w:tcW w:w="1950" w:type="dxa"/>
            <w:vAlign w:val="center"/>
          </w:tcPr>
          <w:p>
            <w:pPr>
              <w:spacing w:before="173" w:line="184" w:lineRule="auto"/>
              <w:jc w:val="center"/>
              <w:rPr>
                <w:rFonts w:hint="eastAsia" w:ascii="宋体" w:hAnsi="宋体" w:eastAsia="宋体" w:cs="宋体"/>
                <w:color w:val="auto"/>
                <w:spacing w:val="-4"/>
                <w:sz w:val="53"/>
                <w:szCs w:val="53"/>
                <w:lang w:val="en-US" w:eastAsia="zh-CN"/>
              </w:rPr>
            </w:pPr>
            <w:r>
              <w:rPr>
                <w:rFonts w:hint="eastAsia" w:ascii="宋体" w:hAnsi="宋体" w:eastAsia="宋体" w:cs="宋体"/>
                <w:color w:val="auto"/>
                <w:spacing w:val="-4"/>
                <w:sz w:val="53"/>
                <w:szCs w:val="53"/>
                <w:lang w:val="en-US" w:eastAsia="zh-CN"/>
              </w:rPr>
              <w:t>双电源</w:t>
            </w:r>
          </w:p>
        </w:tc>
        <w:tc>
          <w:tcPr>
            <w:tcW w:w="8950" w:type="dxa"/>
            <w:vMerge w:val="continue"/>
            <w:vAlign w:val="top"/>
          </w:tcPr>
          <w:p>
            <w:pPr>
              <w:spacing w:before="117" w:line="718" w:lineRule="exact"/>
              <w:ind w:left="201"/>
              <w:rPr>
                <w:rFonts w:hint="eastAsia" w:ascii="宋体" w:hAnsi="宋体" w:eastAsia="宋体" w:cs="宋体"/>
                <w:color w:val="auto"/>
                <w:spacing w:val="7"/>
                <w:sz w:val="53"/>
                <w:szCs w:val="53"/>
                <w:lang w:val="en-US" w:eastAsia="zh-CN"/>
              </w:rPr>
            </w:pPr>
          </w:p>
        </w:tc>
        <w:tc>
          <w:tcPr>
            <w:tcW w:w="3013" w:type="dxa"/>
            <w:vMerge w:val="continue"/>
            <w:vAlign w:val="center"/>
          </w:tcPr>
          <w:p>
            <w:pPr>
              <w:spacing w:before="172" w:line="221" w:lineRule="auto"/>
              <w:jc w:val="center"/>
              <w:rPr>
                <w:rFonts w:ascii="宋体" w:hAnsi="宋体" w:eastAsia="宋体" w:cs="宋体"/>
                <w:color w:val="auto"/>
                <w:spacing w:val="18"/>
                <w:sz w:val="53"/>
                <w:szCs w:val="53"/>
              </w:rPr>
            </w:pPr>
          </w:p>
        </w:tc>
        <w:tc>
          <w:tcPr>
            <w:tcW w:w="3400" w:type="dxa"/>
            <w:vMerge w:val="continue"/>
            <w:vAlign w:val="top"/>
          </w:tcPr>
          <w:p>
            <w:pPr>
              <w:spacing w:before="173" w:line="221" w:lineRule="auto"/>
              <w:rPr>
                <w:rFonts w:ascii="宋体" w:hAnsi="宋体" w:eastAsia="宋体" w:cs="宋体"/>
                <w:color w:val="auto"/>
                <w:spacing w:val="11"/>
                <w:sz w:val="53"/>
                <w:szCs w:val="5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2" w:hRule="atLeast"/>
        </w:trPr>
        <w:tc>
          <w:tcPr>
            <w:tcW w:w="1634" w:type="dxa"/>
            <w:tcBorders>
              <w:top w:val="single" w:color="auto" w:sz="4" w:space="0"/>
              <w:left w:val="single" w:color="auto" w:sz="4" w:space="0"/>
              <w:bottom w:val="single" w:color="auto" w:sz="4" w:space="0"/>
              <w:right w:val="single" w:color="auto" w:sz="4" w:space="0"/>
            </w:tcBorders>
            <w:vAlign w:val="center"/>
          </w:tcPr>
          <w:p>
            <w:pPr>
              <w:spacing w:before="173" w:line="221" w:lineRule="auto"/>
              <w:jc w:val="center"/>
              <w:rPr>
                <w:rFonts w:ascii="宋体" w:hAnsi="宋体" w:eastAsia="宋体" w:cs="宋体"/>
                <w:color w:val="auto"/>
                <w:sz w:val="53"/>
                <w:szCs w:val="53"/>
              </w:rPr>
            </w:pPr>
            <w:r>
              <w:rPr>
                <w:rFonts w:ascii="宋体" w:hAnsi="宋体" w:eastAsia="宋体" w:cs="宋体"/>
                <w:color w:val="auto"/>
                <w:spacing w:val="4"/>
                <w:sz w:val="56"/>
                <w:szCs w:val="56"/>
              </w:rPr>
              <w:t>申请受理</w:t>
            </w:r>
          </w:p>
        </w:tc>
        <w:tc>
          <w:tcPr>
            <w:tcW w:w="4350" w:type="dxa"/>
            <w:tcBorders>
              <w:left w:val="single" w:color="auto" w:sz="4" w:space="0"/>
            </w:tcBorders>
            <w:vAlign w:val="center"/>
          </w:tcPr>
          <w:p>
            <w:pPr>
              <w:spacing w:before="172" w:line="221" w:lineRule="auto"/>
              <w:jc w:val="center"/>
              <w:rPr>
                <w:rFonts w:ascii="宋体" w:hAnsi="宋体" w:eastAsia="宋体" w:cs="宋体"/>
                <w:color w:val="auto"/>
                <w:sz w:val="53"/>
                <w:szCs w:val="53"/>
              </w:rPr>
            </w:pPr>
            <w:r>
              <w:rPr>
                <w:rFonts w:ascii="宋体" w:hAnsi="宋体" w:eastAsia="宋体" w:cs="宋体"/>
                <w:color w:val="auto"/>
                <w:spacing w:val="10"/>
                <w:sz w:val="53"/>
                <w:szCs w:val="53"/>
              </w:rPr>
              <w:t>业务受理</w:t>
            </w:r>
          </w:p>
        </w:tc>
        <w:tc>
          <w:tcPr>
            <w:tcW w:w="2250" w:type="dxa"/>
            <w:vAlign w:val="center"/>
          </w:tcPr>
          <w:p>
            <w:pPr>
              <w:spacing w:before="173" w:line="184" w:lineRule="auto"/>
              <w:ind w:firstLine="1060" w:firstLineChars="200"/>
              <w:jc w:val="both"/>
              <w:rPr>
                <w:rFonts w:hint="default"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0.5</w:t>
            </w:r>
          </w:p>
        </w:tc>
        <w:tc>
          <w:tcPr>
            <w:tcW w:w="1950" w:type="dxa"/>
            <w:vAlign w:val="center"/>
          </w:tcPr>
          <w:p>
            <w:pPr>
              <w:spacing w:before="173" w:line="184" w:lineRule="auto"/>
              <w:jc w:val="center"/>
              <w:rPr>
                <w:rFonts w:hint="default" w:ascii="宋体" w:hAnsi="宋体" w:eastAsia="宋体" w:cs="宋体"/>
                <w:color w:val="auto"/>
                <w:spacing w:val="-4"/>
                <w:sz w:val="53"/>
                <w:szCs w:val="53"/>
                <w:lang w:val="en-US" w:eastAsia="zh-CN"/>
              </w:rPr>
            </w:pPr>
            <w:r>
              <w:rPr>
                <w:rFonts w:hint="eastAsia" w:ascii="宋体" w:hAnsi="宋体" w:eastAsia="宋体" w:cs="宋体"/>
                <w:color w:val="auto"/>
                <w:spacing w:val="-4"/>
                <w:sz w:val="53"/>
                <w:szCs w:val="53"/>
                <w:lang w:val="en-US" w:eastAsia="zh-CN"/>
              </w:rPr>
              <w:t>0.5</w:t>
            </w:r>
          </w:p>
        </w:tc>
        <w:tc>
          <w:tcPr>
            <w:tcW w:w="8950" w:type="dxa"/>
            <w:vAlign w:val="top"/>
          </w:tcPr>
          <w:p>
            <w:pPr>
              <w:spacing w:before="117" w:line="718" w:lineRule="exact"/>
              <w:ind w:left="201"/>
              <w:rPr>
                <w:rFonts w:hint="eastAsia" w:ascii="宋体" w:hAnsi="宋体" w:eastAsia="宋体" w:cs="宋体"/>
                <w:color w:val="auto"/>
                <w:spacing w:val="7"/>
                <w:sz w:val="53"/>
                <w:szCs w:val="53"/>
              </w:rPr>
            </w:pPr>
            <w:r>
              <w:rPr>
                <w:rFonts w:hint="eastAsia" w:ascii="宋体" w:hAnsi="宋体" w:eastAsia="宋体" w:cs="宋体"/>
                <w:color w:val="auto"/>
                <w:spacing w:val="7"/>
                <w:sz w:val="53"/>
                <w:szCs w:val="53"/>
                <w:lang w:val="en-US" w:eastAsia="zh-CN"/>
              </w:rPr>
              <w:t>1.</w:t>
            </w:r>
            <w:r>
              <w:rPr>
                <w:rFonts w:hint="eastAsia" w:ascii="宋体" w:hAnsi="宋体" w:eastAsia="宋体" w:cs="宋体"/>
                <w:color w:val="auto"/>
                <w:spacing w:val="7"/>
                <w:sz w:val="53"/>
                <w:szCs w:val="53"/>
              </w:rPr>
              <w:t>电子渠道从营销业务系统收到业扩派单开始计算</w:t>
            </w:r>
          </w:p>
          <w:p>
            <w:pPr>
              <w:spacing w:before="117" w:line="718" w:lineRule="exact"/>
              <w:ind w:left="201"/>
              <w:rPr>
                <w:rFonts w:hint="eastAsia" w:ascii="宋体" w:hAnsi="宋体" w:eastAsia="宋体" w:cs="宋体"/>
                <w:color w:val="auto"/>
                <w:sz w:val="52"/>
                <w:szCs w:val="52"/>
                <w:lang w:eastAsia="zh-CN"/>
              </w:rPr>
            </w:pPr>
            <w:r>
              <w:rPr>
                <w:rFonts w:hint="eastAsia" w:ascii="宋体" w:hAnsi="宋体" w:eastAsia="宋体" w:cs="宋体"/>
                <w:color w:val="auto"/>
                <w:spacing w:val="7"/>
                <w:sz w:val="53"/>
                <w:szCs w:val="53"/>
                <w:lang w:val="en-US" w:eastAsia="zh-CN"/>
              </w:rPr>
              <w:t>2.</w:t>
            </w:r>
            <w:r>
              <w:rPr>
                <w:rFonts w:hint="eastAsia" w:ascii="宋体" w:hAnsi="宋体" w:eastAsia="宋体" w:cs="宋体"/>
                <w:color w:val="auto"/>
                <w:spacing w:val="7"/>
                <w:sz w:val="53"/>
                <w:szCs w:val="53"/>
              </w:rPr>
              <w:t>营业厅渠道从启动业扩工单开始计算</w:t>
            </w:r>
          </w:p>
        </w:tc>
        <w:tc>
          <w:tcPr>
            <w:tcW w:w="3013" w:type="dxa"/>
            <w:vAlign w:val="center"/>
          </w:tcPr>
          <w:p>
            <w:pPr>
              <w:spacing w:before="172" w:line="221" w:lineRule="auto"/>
              <w:jc w:val="center"/>
              <w:rPr>
                <w:rFonts w:ascii="宋体" w:hAnsi="宋体" w:eastAsia="宋体" w:cs="宋体"/>
                <w:color w:val="auto"/>
                <w:sz w:val="53"/>
                <w:szCs w:val="53"/>
              </w:rPr>
            </w:pPr>
            <w:r>
              <w:rPr>
                <w:rFonts w:ascii="宋体" w:hAnsi="宋体" w:eastAsia="宋体" w:cs="宋体"/>
                <w:color w:val="auto"/>
                <w:spacing w:val="18"/>
                <w:sz w:val="53"/>
                <w:szCs w:val="53"/>
              </w:rPr>
              <w:t>业务受理人员</w:t>
            </w:r>
          </w:p>
        </w:tc>
        <w:tc>
          <w:tcPr>
            <w:tcW w:w="3400" w:type="dxa"/>
            <w:vMerge w:val="restart"/>
            <w:vAlign w:val="center"/>
          </w:tcPr>
          <w:p>
            <w:pPr>
              <w:spacing w:before="173" w:line="221" w:lineRule="auto"/>
              <w:jc w:val="center"/>
              <w:rPr>
                <w:rFonts w:ascii="宋体" w:hAnsi="宋体" w:eastAsia="宋体" w:cs="宋体"/>
                <w:color w:val="auto"/>
                <w:sz w:val="53"/>
                <w:szCs w:val="53"/>
              </w:rPr>
            </w:pPr>
            <w:r>
              <w:rPr>
                <w:rFonts w:ascii="宋体" w:hAnsi="宋体" w:eastAsia="宋体" w:cs="宋体"/>
                <w:color w:val="auto"/>
                <w:spacing w:val="11"/>
                <w:sz w:val="53"/>
                <w:szCs w:val="53"/>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7" w:hRule="atLeast"/>
        </w:trPr>
        <w:tc>
          <w:tcPr>
            <w:tcW w:w="1634" w:type="dxa"/>
            <w:tcBorders>
              <w:top w:val="single" w:color="auto" w:sz="4" w:space="0"/>
              <w:left w:val="single" w:color="auto" w:sz="4" w:space="0"/>
              <w:bottom w:val="single" w:color="auto" w:sz="4" w:space="0"/>
              <w:right w:val="single" w:color="auto" w:sz="4" w:space="0"/>
            </w:tcBorders>
            <w:vAlign w:val="center"/>
          </w:tcPr>
          <w:p>
            <w:pPr>
              <w:spacing w:before="173" w:line="223" w:lineRule="auto"/>
              <w:jc w:val="center"/>
              <w:rPr>
                <w:rFonts w:ascii="宋体" w:hAnsi="宋体" w:eastAsia="宋体" w:cs="宋体"/>
                <w:color w:val="auto"/>
                <w:spacing w:val="13"/>
                <w:sz w:val="53"/>
                <w:szCs w:val="53"/>
              </w:rPr>
            </w:pPr>
            <w:r>
              <w:rPr>
                <w:rFonts w:ascii="宋体" w:hAnsi="宋体" w:eastAsia="宋体" w:cs="宋体"/>
                <w:color w:val="auto"/>
                <w:spacing w:val="6"/>
                <w:sz w:val="56"/>
                <w:szCs w:val="56"/>
              </w:rPr>
              <w:t>方案答复</w:t>
            </w:r>
          </w:p>
        </w:tc>
        <w:tc>
          <w:tcPr>
            <w:tcW w:w="4350" w:type="dxa"/>
            <w:tcBorders>
              <w:left w:val="single" w:color="auto" w:sz="4" w:space="0"/>
            </w:tcBorders>
            <w:vAlign w:val="center"/>
          </w:tcPr>
          <w:p>
            <w:pPr>
              <w:spacing w:before="108" w:line="221" w:lineRule="auto"/>
              <w:jc w:val="center"/>
              <w:rPr>
                <w:rFonts w:ascii="宋体" w:hAnsi="宋体" w:eastAsia="宋体" w:cs="宋体"/>
                <w:color w:val="auto"/>
                <w:spacing w:val="10"/>
                <w:sz w:val="53"/>
                <w:szCs w:val="53"/>
              </w:rPr>
            </w:pPr>
            <w:r>
              <w:rPr>
                <w:rFonts w:ascii="宋体" w:hAnsi="宋体" w:eastAsia="宋体" w:cs="宋体"/>
                <w:color w:val="auto"/>
                <w:spacing w:val="10"/>
                <w:sz w:val="53"/>
                <w:szCs w:val="53"/>
              </w:rPr>
              <w:t>现场勘察、</w:t>
            </w:r>
          </w:p>
          <w:p>
            <w:pPr>
              <w:spacing w:before="108" w:line="221" w:lineRule="auto"/>
              <w:jc w:val="center"/>
              <w:rPr>
                <w:rFonts w:ascii="宋体" w:hAnsi="宋体" w:eastAsia="宋体" w:cs="宋体"/>
                <w:color w:val="auto"/>
                <w:spacing w:val="10"/>
                <w:sz w:val="53"/>
                <w:szCs w:val="53"/>
              </w:rPr>
            </w:pPr>
            <w:r>
              <w:rPr>
                <w:rFonts w:ascii="宋体" w:hAnsi="宋体" w:eastAsia="宋体" w:cs="宋体"/>
                <w:color w:val="auto"/>
                <w:spacing w:val="10"/>
                <w:sz w:val="53"/>
                <w:szCs w:val="53"/>
              </w:rPr>
              <w:t>编制供电方案</w:t>
            </w:r>
          </w:p>
        </w:tc>
        <w:tc>
          <w:tcPr>
            <w:tcW w:w="2250" w:type="dxa"/>
            <w:vAlign w:val="center"/>
          </w:tcPr>
          <w:p>
            <w:pPr>
              <w:spacing w:before="172" w:line="185" w:lineRule="auto"/>
              <w:jc w:val="center"/>
              <w:rPr>
                <w:rFonts w:ascii="宋体" w:hAnsi="宋体" w:eastAsia="宋体" w:cs="宋体"/>
                <w:color w:val="auto"/>
                <w:sz w:val="53"/>
                <w:szCs w:val="53"/>
              </w:rPr>
            </w:pPr>
            <w:r>
              <w:rPr>
                <w:rFonts w:hint="eastAsia" w:ascii="宋体" w:hAnsi="宋体" w:eastAsia="宋体" w:cs="宋体"/>
                <w:color w:val="auto"/>
                <w:sz w:val="53"/>
                <w:szCs w:val="53"/>
                <w:lang w:val="en-US" w:eastAsia="zh-CN"/>
              </w:rPr>
              <w:t>2</w:t>
            </w:r>
          </w:p>
        </w:tc>
        <w:tc>
          <w:tcPr>
            <w:tcW w:w="1950" w:type="dxa"/>
            <w:vAlign w:val="center"/>
          </w:tcPr>
          <w:p>
            <w:pPr>
              <w:spacing w:before="172" w:line="185" w:lineRule="auto"/>
              <w:jc w:val="center"/>
              <w:rPr>
                <w:rFonts w:ascii="宋体" w:hAnsi="宋体" w:eastAsia="宋体" w:cs="宋体"/>
                <w:color w:val="auto"/>
                <w:sz w:val="53"/>
                <w:szCs w:val="53"/>
              </w:rPr>
            </w:pPr>
            <w:r>
              <w:rPr>
                <w:rFonts w:hint="eastAsia" w:ascii="宋体" w:hAnsi="宋体" w:eastAsia="宋体" w:cs="宋体"/>
                <w:color w:val="auto"/>
                <w:sz w:val="53"/>
                <w:szCs w:val="53"/>
                <w:lang w:val="en-US" w:eastAsia="zh-CN"/>
              </w:rPr>
              <w:t>4</w:t>
            </w:r>
          </w:p>
        </w:tc>
        <w:tc>
          <w:tcPr>
            <w:tcW w:w="8950" w:type="dxa"/>
            <w:vAlign w:val="center"/>
          </w:tcPr>
          <w:p>
            <w:pPr>
              <w:spacing w:line="325" w:lineRule="auto"/>
              <w:jc w:val="center"/>
              <w:rPr>
                <w:rFonts w:ascii="Arial"/>
                <w:color w:val="auto"/>
                <w:sz w:val="21"/>
              </w:rPr>
            </w:pPr>
          </w:p>
          <w:p>
            <w:pPr>
              <w:spacing w:before="172" w:line="221" w:lineRule="auto"/>
              <w:ind w:left="201" w:leftChars="0"/>
              <w:jc w:val="center"/>
              <w:rPr>
                <w:rFonts w:ascii="宋体" w:hAnsi="宋体" w:eastAsia="宋体" w:cs="宋体"/>
                <w:color w:val="auto"/>
                <w:spacing w:val="8"/>
                <w:sz w:val="53"/>
                <w:szCs w:val="53"/>
              </w:rPr>
            </w:pPr>
            <w:r>
              <w:rPr>
                <w:rFonts w:hint="eastAsia" w:ascii="宋体" w:hAnsi="宋体" w:eastAsia="宋体" w:cs="宋体"/>
                <w:color w:val="auto"/>
                <w:spacing w:val="7"/>
                <w:sz w:val="53"/>
                <w:szCs w:val="53"/>
              </w:rPr>
              <w:t>从申请受理完成后开始计算</w:t>
            </w:r>
          </w:p>
        </w:tc>
        <w:tc>
          <w:tcPr>
            <w:tcW w:w="3013" w:type="dxa"/>
            <w:tcBorders>
              <w:right w:val="single" w:color="auto" w:sz="4" w:space="0"/>
            </w:tcBorders>
            <w:vAlign w:val="center"/>
          </w:tcPr>
          <w:p>
            <w:pPr>
              <w:spacing w:line="250" w:lineRule="auto"/>
              <w:jc w:val="center"/>
              <w:rPr>
                <w:rFonts w:ascii="Arial"/>
                <w:color w:val="auto"/>
                <w:sz w:val="21"/>
              </w:rPr>
            </w:pPr>
          </w:p>
          <w:p>
            <w:pPr>
              <w:spacing w:before="182" w:line="220" w:lineRule="auto"/>
              <w:jc w:val="center"/>
              <w:rPr>
                <w:rFonts w:ascii="宋体" w:hAnsi="宋体" w:eastAsia="宋体" w:cs="宋体"/>
                <w:color w:val="auto"/>
                <w:spacing w:val="10"/>
                <w:sz w:val="53"/>
                <w:szCs w:val="53"/>
              </w:rPr>
            </w:pPr>
            <w:r>
              <w:rPr>
                <w:rFonts w:ascii="宋体" w:hAnsi="宋体" w:eastAsia="宋体" w:cs="宋体"/>
                <w:color w:val="auto"/>
                <w:spacing w:val="4"/>
                <w:sz w:val="56"/>
                <w:szCs w:val="56"/>
              </w:rPr>
              <w:t>客户经理</w:t>
            </w:r>
          </w:p>
        </w:tc>
        <w:tc>
          <w:tcPr>
            <w:tcW w:w="3400" w:type="dxa"/>
            <w:vMerge w:val="continue"/>
            <w:tcBorders>
              <w:bottom w:val="single" w:color="auto" w:sz="4" w:space="0"/>
            </w:tcBorders>
            <w:vAlign w:val="center"/>
          </w:tcPr>
          <w:p>
            <w:pPr>
              <w:spacing w:before="172" w:line="221" w:lineRule="auto"/>
              <w:ind w:left="342"/>
              <w:jc w:val="center"/>
              <w:rPr>
                <w:rFonts w:ascii="宋体" w:hAnsi="宋体" w:eastAsia="宋体" w:cs="宋体"/>
                <w:color w:val="auto"/>
                <w:spacing w:val="11"/>
                <w:sz w:val="53"/>
                <w:szCs w:val="5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0" w:hRule="atLeast"/>
        </w:trPr>
        <w:tc>
          <w:tcPr>
            <w:tcW w:w="1634" w:type="dxa"/>
            <w:vMerge w:val="restart"/>
            <w:tcBorders>
              <w:top w:val="single" w:color="auto" w:sz="4" w:space="0"/>
              <w:left w:val="single" w:color="auto" w:sz="4" w:space="0"/>
              <w:right w:val="single" w:color="auto" w:sz="4" w:space="0"/>
            </w:tcBorders>
            <w:vAlign w:val="center"/>
          </w:tcPr>
          <w:p>
            <w:pPr>
              <w:spacing w:before="182" w:line="220" w:lineRule="auto"/>
              <w:jc w:val="center"/>
              <w:rPr>
                <w:rFonts w:hint="eastAsia" w:ascii="宋体" w:hAnsi="宋体" w:eastAsia="宋体" w:cs="宋体"/>
                <w:color w:val="auto"/>
                <w:spacing w:val="3"/>
                <w:sz w:val="56"/>
                <w:szCs w:val="56"/>
                <w:lang w:eastAsia="zh-CN"/>
              </w:rPr>
            </w:pPr>
            <w:r>
              <w:rPr>
                <w:rFonts w:hint="eastAsia" w:ascii="宋体" w:hAnsi="宋体" w:eastAsia="宋体" w:cs="宋体"/>
                <w:color w:val="auto"/>
                <w:spacing w:val="3"/>
                <w:sz w:val="56"/>
                <w:szCs w:val="56"/>
                <w:lang w:eastAsia="zh-CN"/>
              </w:rPr>
              <w:t>竣工接电</w:t>
            </w:r>
          </w:p>
        </w:tc>
        <w:tc>
          <w:tcPr>
            <w:tcW w:w="4350" w:type="dxa"/>
            <w:tcBorders>
              <w:left w:val="single" w:color="auto" w:sz="4" w:space="0"/>
            </w:tcBorders>
            <w:vAlign w:val="center"/>
          </w:tcPr>
          <w:p>
            <w:pPr>
              <w:spacing w:before="182" w:line="220" w:lineRule="auto"/>
              <w:jc w:val="center"/>
              <w:rPr>
                <w:rFonts w:ascii="宋体" w:hAnsi="宋体" w:eastAsia="宋体" w:cs="宋体"/>
                <w:color w:val="auto"/>
                <w:spacing w:val="3"/>
                <w:sz w:val="56"/>
                <w:szCs w:val="56"/>
              </w:rPr>
            </w:pPr>
            <w:r>
              <w:rPr>
                <w:rFonts w:ascii="宋体" w:hAnsi="宋体" w:eastAsia="宋体" w:cs="宋体"/>
                <w:color w:val="auto"/>
                <w:spacing w:val="3"/>
                <w:sz w:val="56"/>
                <w:szCs w:val="56"/>
              </w:rPr>
              <w:t>办理行政审批(备案)手续</w:t>
            </w:r>
          </w:p>
        </w:tc>
        <w:tc>
          <w:tcPr>
            <w:tcW w:w="2250" w:type="dxa"/>
            <w:vAlign w:val="center"/>
          </w:tcPr>
          <w:p>
            <w:pPr>
              <w:spacing w:before="172" w:line="184" w:lineRule="auto"/>
              <w:jc w:val="center"/>
              <w:rPr>
                <w:rFonts w:hint="eastAsia" w:ascii="宋体" w:hAnsi="宋体" w:eastAsia="宋体" w:cs="宋体"/>
                <w:color w:val="auto"/>
                <w:sz w:val="53"/>
                <w:szCs w:val="53"/>
                <w:highlight w:val="none"/>
                <w:lang w:eastAsia="zh-CN"/>
              </w:rPr>
            </w:pPr>
            <w:r>
              <w:rPr>
                <w:rFonts w:hint="eastAsia" w:ascii="宋体" w:hAnsi="宋体" w:eastAsia="宋体" w:cs="宋体"/>
                <w:color w:val="auto"/>
                <w:sz w:val="53"/>
                <w:szCs w:val="53"/>
                <w:highlight w:val="none"/>
                <w:lang w:val="en-US" w:eastAsia="zh-CN"/>
              </w:rPr>
              <w:t>5</w:t>
            </w:r>
          </w:p>
        </w:tc>
        <w:tc>
          <w:tcPr>
            <w:tcW w:w="1950" w:type="dxa"/>
            <w:vAlign w:val="center"/>
          </w:tcPr>
          <w:p>
            <w:pPr>
              <w:spacing w:before="172" w:line="184" w:lineRule="auto"/>
              <w:jc w:val="center"/>
              <w:rPr>
                <w:rFonts w:hint="eastAsia" w:ascii="宋体" w:hAnsi="宋体" w:eastAsia="宋体" w:cs="宋体"/>
                <w:color w:val="auto"/>
                <w:sz w:val="53"/>
                <w:szCs w:val="53"/>
                <w:highlight w:val="none"/>
                <w:lang w:val="en-US" w:eastAsia="zh-CN"/>
              </w:rPr>
            </w:pPr>
            <w:r>
              <w:rPr>
                <w:rFonts w:hint="eastAsia" w:ascii="宋体" w:hAnsi="宋体" w:eastAsia="宋体" w:cs="宋体"/>
                <w:color w:val="auto"/>
                <w:sz w:val="53"/>
                <w:szCs w:val="53"/>
                <w:highlight w:val="none"/>
                <w:lang w:val="en-US" w:eastAsia="zh-CN"/>
              </w:rPr>
              <w:t>5</w:t>
            </w:r>
          </w:p>
        </w:tc>
        <w:tc>
          <w:tcPr>
            <w:tcW w:w="8950" w:type="dxa"/>
            <w:vAlign w:val="center"/>
          </w:tcPr>
          <w:p>
            <w:pPr>
              <w:spacing w:line="275" w:lineRule="auto"/>
              <w:jc w:val="center"/>
              <w:rPr>
                <w:rFonts w:ascii="Arial"/>
                <w:color w:val="auto"/>
                <w:sz w:val="21"/>
              </w:rPr>
            </w:pPr>
          </w:p>
          <w:p>
            <w:pPr>
              <w:spacing w:before="173" w:line="221" w:lineRule="auto"/>
              <w:ind w:left="201"/>
              <w:jc w:val="center"/>
              <w:rPr>
                <w:rFonts w:ascii="宋体" w:hAnsi="宋体" w:eastAsia="宋体" w:cs="宋体"/>
                <w:color w:val="auto"/>
                <w:sz w:val="53"/>
                <w:szCs w:val="53"/>
              </w:rPr>
            </w:pPr>
            <w:r>
              <w:rPr>
                <w:rFonts w:hint="eastAsia" w:ascii="宋体" w:hAnsi="宋体" w:eastAsia="宋体" w:cs="宋体"/>
                <w:color w:val="auto"/>
                <w:spacing w:val="7"/>
                <w:sz w:val="53"/>
                <w:szCs w:val="53"/>
              </w:rPr>
              <w:t>从供电方案完成后开始计算</w:t>
            </w:r>
          </w:p>
        </w:tc>
        <w:tc>
          <w:tcPr>
            <w:tcW w:w="3013" w:type="dxa"/>
            <w:vAlign w:val="center"/>
          </w:tcPr>
          <w:p>
            <w:pPr>
              <w:spacing w:line="247" w:lineRule="auto"/>
              <w:jc w:val="center"/>
              <w:rPr>
                <w:rFonts w:ascii="Arial"/>
                <w:color w:val="auto"/>
                <w:sz w:val="21"/>
              </w:rPr>
            </w:pPr>
          </w:p>
          <w:p>
            <w:pPr>
              <w:spacing w:before="182" w:line="220" w:lineRule="auto"/>
              <w:jc w:val="center"/>
              <w:rPr>
                <w:rFonts w:ascii="宋体" w:hAnsi="宋体" w:eastAsia="宋体" w:cs="宋体"/>
                <w:color w:val="auto"/>
                <w:sz w:val="53"/>
                <w:szCs w:val="53"/>
              </w:rPr>
            </w:pPr>
            <w:r>
              <w:rPr>
                <w:rFonts w:ascii="宋体" w:hAnsi="宋体" w:eastAsia="宋体" w:cs="宋体"/>
                <w:color w:val="auto"/>
                <w:spacing w:val="4"/>
                <w:sz w:val="56"/>
                <w:szCs w:val="56"/>
              </w:rPr>
              <w:t>项目经理</w:t>
            </w:r>
          </w:p>
        </w:tc>
        <w:tc>
          <w:tcPr>
            <w:tcW w:w="3400" w:type="dxa"/>
            <w:tcBorders>
              <w:top w:val="single" w:color="auto" w:sz="4" w:space="0"/>
            </w:tcBorders>
            <w:vAlign w:val="center"/>
          </w:tcPr>
          <w:p>
            <w:pPr>
              <w:spacing w:line="277" w:lineRule="auto"/>
              <w:jc w:val="center"/>
              <w:rPr>
                <w:rFonts w:ascii="Arial"/>
                <w:color w:val="auto"/>
                <w:sz w:val="21"/>
              </w:rPr>
            </w:pPr>
          </w:p>
          <w:p>
            <w:pPr>
              <w:spacing w:before="172" w:line="221" w:lineRule="auto"/>
              <w:jc w:val="center"/>
              <w:rPr>
                <w:rFonts w:ascii="宋体" w:hAnsi="宋体" w:eastAsia="宋体" w:cs="宋体"/>
                <w:color w:val="auto"/>
                <w:sz w:val="53"/>
                <w:szCs w:val="53"/>
              </w:rPr>
            </w:pPr>
            <w:r>
              <w:rPr>
                <w:rFonts w:ascii="宋体" w:hAnsi="宋体" w:eastAsia="宋体" w:cs="宋体"/>
                <w:color w:val="auto"/>
                <w:spacing w:val="11"/>
                <w:sz w:val="53"/>
                <w:szCs w:val="53"/>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1" w:hRule="atLeast"/>
        </w:trPr>
        <w:tc>
          <w:tcPr>
            <w:tcW w:w="1634" w:type="dxa"/>
            <w:vMerge w:val="continue"/>
            <w:tcBorders>
              <w:left w:val="single" w:color="auto" w:sz="4" w:space="0"/>
              <w:right w:val="single" w:color="auto" w:sz="4" w:space="0"/>
            </w:tcBorders>
            <w:vAlign w:val="center"/>
          </w:tcPr>
          <w:p>
            <w:pPr>
              <w:jc w:val="center"/>
              <w:rPr>
                <w:rFonts w:ascii="Arial"/>
                <w:color w:val="auto"/>
                <w:sz w:val="21"/>
              </w:rPr>
            </w:pPr>
          </w:p>
        </w:tc>
        <w:tc>
          <w:tcPr>
            <w:tcW w:w="4350" w:type="dxa"/>
            <w:tcBorders>
              <w:left w:val="single" w:color="auto" w:sz="4" w:space="0"/>
            </w:tcBorders>
            <w:vAlign w:val="center"/>
          </w:tcPr>
          <w:p>
            <w:pPr>
              <w:spacing w:before="182" w:line="220" w:lineRule="auto"/>
              <w:jc w:val="center"/>
              <w:rPr>
                <w:rFonts w:ascii="宋体" w:hAnsi="宋体" w:eastAsia="宋体" w:cs="宋体"/>
                <w:color w:val="auto"/>
                <w:sz w:val="53"/>
                <w:szCs w:val="53"/>
              </w:rPr>
            </w:pPr>
            <w:r>
              <w:rPr>
                <w:rFonts w:ascii="宋体" w:hAnsi="宋体" w:eastAsia="宋体" w:cs="宋体"/>
                <w:color w:val="auto"/>
                <w:spacing w:val="3"/>
                <w:sz w:val="56"/>
                <w:szCs w:val="56"/>
              </w:rPr>
              <w:t>电网配套工程实施</w:t>
            </w:r>
          </w:p>
        </w:tc>
        <w:tc>
          <w:tcPr>
            <w:tcW w:w="2250" w:type="dxa"/>
            <w:vAlign w:val="center"/>
          </w:tcPr>
          <w:p>
            <w:pPr>
              <w:spacing w:before="173" w:line="184" w:lineRule="auto"/>
              <w:jc w:val="center"/>
              <w:rPr>
                <w:rFonts w:hint="eastAsia" w:ascii="宋体" w:hAnsi="宋体" w:eastAsia="宋体" w:cs="宋体"/>
                <w:color w:val="auto"/>
                <w:sz w:val="53"/>
                <w:szCs w:val="53"/>
                <w:lang w:eastAsia="zh-CN"/>
              </w:rPr>
            </w:pPr>
            <w:r>
              <w:rPr>
                <w:rFonts w:hint="eastAsia" w:ascii="宋体" w:hAnsi="宋体" w:eastAsia="宋体" w:cs="宋体"/>
                <w:color w:val="auto"/>
                <w:sz w:val="53"/>
                <w:szCs w:val="53"/>
                <w:lang w:val="en-US" w:eastAsia="zh-CN"/>
              </w:rPr>
              <w:t>9</w:t>
            </w:r>
          </w:p>
        </w:tc>
        <w:tc>
          <w:tcPr>
            <w:tcW w:w="1950" w:type="dxa"/>
            <w:vAlign w:val="center"/>
          </w:tcPr>
          <w:p>
            <w:pPr>
              <w:spacing w:before="173" w:line="184" w:lineRule="auto"/>
              <w:jc w:val="center"/>
              <w:rPr>
                <w:rFonts w:hint="default"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18</w:t>
            </w:r>
          </w:p>
        </w:tc>
        <w:tc>
          <w:tcPr>
            <w:tcW w:w="8950" w:type="dxa"/>
            <w:tcBorders>
              <w:bottom w:val="single" w:color="auto" w:sz="4" w:space="0"/>
            </w:tcBorders>
            <w:vAlign w:val="center"/>
          </w:tcPr>
          <w:p>
            <w:pPr>
              <w:spacing w:line="313" w:lineRule="auto"/>
              <w:jc w:val="center"/>
              <w:rPr>
                <w:rFonts w:ascii="Arial"/>
                <w:color w:val="auto"/>
                <w:sz w:val="21"/>
              </w:rPr>
            </w:pPr>
          </w:p>
          <w:p>
            <w:pPr>
              <w:spacing w:before="172" w:line="221" w:lineRule="auto"/>
              <w:jc w:val="center"/>
              <w:rPr>
                <w:rFonts w:ascii="宋体" w:hAnsi="宋体" w:eastAsia="宋体" w:cs="宋体"/>
                <w:color w:val="auto"/>
                <w:sz w:val="53"/>
                <w:szCs w:val="53"/>
              </w:rPr>
            </w:pPr>
            <w:r>
              <w:rPr>
                <w:rFonts w:hint="eastAsia" w:ascii="宋体" w:hAnsi="宋体" w:eastAsia="宋体" w:cs="宋体"/>
                <w:color w:val="auto"/>
                <w:spacing w:val="7"/>
                <w:sz w:val="53"/>
                <w:szCs w:val="53"/>
              </w:rPr>
              <w:t>从备案手续办结后开始计算</w:t>
            </w:r>
          </w:p>
        </w:tc>
        <w:tc>
          <w:tcPr>
            <w:tcW w:w="3013" w:type="dxa"/>
            <w:vAlign w:val="center"/>
          </w:tcPr>
          <w:p>
            <w:pPr>
              <w:spacing w:before="182" w:line="220" w:lineRule="auto"/>
              <w:jc w:val="center"/>
              <w:rPr>
                <w:rFonts w:ascii="宋体" w:hAnsi="宋体" w:eastAsia="宋体" w:cs="宋体"/>
                <w:color w:val="auto"/>
                <w:sz w:val="53"/>
                <w:szCs w:val="53"/>
              </w:rPr>
            </w:pPr>
            <w:r>
              <w:rPr>
                <w:rFonts w:ascii="宋体" w:hAnsi="宋体" w:eastAsia="宋体" w:cs="宋体"/>
                <w:color w:val="auto"/>
                <w:spacing w:val="4"/>
                <w:sz w:val="56"/>
                <w:szCs w:val="56"/>
              </w:rPr>
              <w:t>项目经理</w:t>
            </w:r>
          </w:p>
        </w:tc>
        <w:tc>
          <w:tcPr>
            <w:tcW w:w="3400" w:type="dxa"/>
            <w:vAlign w:val="center"/>
          </w:tcPr>
          <w:p>
            <w:pPr>
              <w:spacing w:before="172" w:line="221" w:lineRule="auto"/>
              <w:jc w:val="center"/>
              <w:rPr>
                <w:rFonts w:ascii="宋体" w:hAnsi="宋体" w:eastAsia="宋体" w:cs="宋体"/>
                <w:color w:val="auto"/>
                <w:sz w:val="53"/>
                <w:szCs w:val="53"/>
              </w:rPr>
            </w:pPr>
            <w:r>
              <w:rPr>
                <w:rFonts w:ascii="宋体" w:hAnsi="宋体" w:eastAsia="宋体" w:cs="宋体"/>
                <w:color w:val="auto"/>
                <w:spacing w:val="11"/>
                <w:sz w:val="53"/>
                <w:szCs w:val="53"/>
              </w:rPr>
              <w:t>生产技术部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4" w:hRule="atLeast"/>
        </w:trPr>
        <w:tc>
          <w:tcPr>
            <w:tcW w:w="1634" w:type="dxa"/>
            <w:vMerge w:val="continue"/>
            <w:tcBorders>
              <w:left w:val="single" w:color="auto" w:sz="4" w:space="0"/>
              <w:right w:val="single" w:color="auto" w:sz="4" w:space="0"/>
            </w:tcBorders>
            <w:vAlign w:val="center"/>
          </w:tcPr>
          <w:p>
            <w:pPr>
              <w:jc w:val="center"/>
              <w:rPr>
                <w:rFonts w:ascii="Arial"/>
                <w:color w:val="auto"/>
                <w:sz w:val="21"/>
              </w:rPr>
            </w:pPr>
          </w:p>
        </w:tc>
        <w:tc>
          <w:tcPr>
            <w:tcW w:w="4350" w:type="dxa"/>
            <w:tcBorders>
              <w:left w:val="single" w:color="auto" w:sz="4" w:space="0"/>
            </w:tcBorders>
            <w:vAlign w:val="center"/>
          </w:tcPr>
          <w:p>
            <w:pPr>
              <w:spacing w:before="182" w:line="220" w:lineRule="auto"/>
              <w:jc w:val="center"/>
              <w:rPr>
                <w:rFonts w:ascii="宋体" w:hAnsi="宋体" w:eastAsia="宋体" w:cs="宋体"/>
                <w:color w:val="auto"/>
                <w:spacing w:val="3"/>
                <w:sz w:val="56"/>
                <w:szCs w:val="56"/>
              </w:rPr>
            </w:pPr>
            <w:r>
              <w:rPr>
                <w:rFonts w:ascii="宋体" w:hAnsi="宋体" w:eastAsia="宋体" w:cs="宋体"/>
                <w:color w:val="auto"/>
                <w:spacing w:val="3"/>
                <w:sz w:val="56"/>
                <w:szCs w:val="56"/>
              </w:rPr>
              <w:t>图纸审查</w:t>
            </w:r>
          </w:p>
        </w:tc>
        <w:tc>
          <w:tcPr>
            <w:tcW w:w="2250" w:type="dxa"/>
            <w:vAlign w:val="center"/>
          </w:tcPr>
          <w:p>
            <w:pPr>
              <w:spacing w:before="173" w:line="184" w:lineRule="auto"/>
              <w:jc w:val="center"/>
              <w:rPr>
                <w:rFonts w:hint="eastAsia" w:ascii="Arial" w:eastAsiaTheme="minorEastAsia"/>
                <w:color w:val="auto"/>
                <w:sz w:val="21"/>
                <w:lang w:val="en-US" w:eastAsia="zh-CN"/>
              </w:rPr>
            </w:pPr>
            <w:r>
              <w:rPr>
                <w:rFonts w:hint="eastAsia" w:ascii="宋体" w:hAnsi="宋体" w:eastAsia="宋体" w:cs="宋体"/>
                <w:color w:val="auto"/>
                <w:sz w:val="53"/>
                <w:szCs w:val="53"/>
                <w:lang w:val="en-US" w:eastAsia="zh-CN"/>
              </w:rPr>
              <w:t>/</w:t>
            </w:r>
          </w:p>
        </w:tc>
        <w:tc>
          <w:tcPr>
            <w:tcW w:w="1950" w:type="dxa"/>
            <w:tcBorders>
              <w:right w:val="single" w:color="auto" w:sz="4" w:space="0"/>
            </w:tcBorders>
            <w:vAlign w:val="center"/>
          </w:tcPr>
          <w:p>
            <w:pPr>
              <w:spacing w:before="173" w:line="184" w:lineRule="auto"/>
              <w:jc w:val="center"/>
              <w:rPr>
                <w:rFonts w:hint="eastAsia" w:ascii="Arial" w:eastAsiaTheme="minorEastAsia"/>
                <w:color w:val="auto"/>
                <w:sz w:val="21"/>
                <w:lang w:val="en-US" w:eastAsia="zh-CN"/>
              </w:rPr>
            </w:pPr>
            <w:r>
              <w:rPr>
                <w:rFonts w:hint="eastAsia" w:ascii="宋体" w:hAnsi="宋体" w:eastAsia="宋体" w:cs="宋体"/>
                <w:color w:val="auto"/>
                <w:sz w:val="53"/>
                <w:szCs w:val="53"/>
                <w:lang w:val="en-US" w:eastAsia="zh-CN"/>
              </w:rPr>
              <w:t>2</w:t>
            </w:r>
          </w:p>
        </w:tc>
        <w:tc>
          <w:tcPr>
            <w:tcW w:w="8950" w:type="dxa"/>
            <w:tcBorders>
              <w:top w:val="single" w:color="auto" w:sz="4" w:space="0"/>
              <w:left w:val="single" w:color="auto" w:sz="4" w:space="0"/>
              <w:bottom w:val="single" w:color="auto" w:sz="4" w:space="0"/>
              <w:right w:val="single" w:color="auto" w:sz="4" w:space="0"/>
            </w:tcBorders>
            <w:vAlign w:val="center"/>
          </w:tcPr>
          <w:p>
            <w:pPr>
              <w:spacing w:before="172" w:line="221" w:lineRule="auto"/>
              <w:jc w:val="center"/>
              <w:rPr>
                <w:rFonts w:ascii="宋体" w:hAnsi="宋体" w:eastAsia="宋体" w:cs="宋体"/>
                <w:color w:val="auto"/>
                <w:spacing w:val="8"/>
                <w:sz w:val="53"/>
                <w:szCs w:val="53"/>
              </w:rPr>
            </w:pPr>
            <w:r>
              <w:rPr>
                <w:rFonts w:hint="eastAsia" w:ascii="宋体" w:hAnsi="宋体" w:eastAsia="宋体" w:cs="宋体"/>
                <w:color w:val="auto"/>
                <w:spacing w:val="7"/>
                <w:sz w:val="53"/>
                <w:szCs w:val="53"/>
              </w:rPr>
              <w:t>与业扩配套工程同步开展，从接收受电工程设计文件后开始计算</w:t>
            </w:r>
          </w:p>
        </w:tc>
        <w:tc>
          <w:tcPr>
            <w:tcW w:w="3013" w:type="dxa"/>
            <w:tcBorders>
              <w:left w:val="single" w:color="auto" w:sz="4" w:space="0"/>
            </w:tcBorders>
            <w:vAlign w:val="center"/>
          </w:tcPr>
          <w:p>
            <w:pPr>
              <w:spacing w:before="182" w:line="220" w:lineRule="auto"/>
              <w:jc w:val="center"/>
              <w:rPr>
                <w:rFonts w:ascii="宋体" w:hAnsi="宋体" w:eastAsia="宋体" w:cs="宋体"/>
                <w:color w:val="auto"/>
                <w:spacing w:val="4"/>
                <w:sz w:val="56"/>
                <w:szCs w:val="56"/>
              </w:rPr>
            </w:pPr>
            <w:r>
              <w:rPr>
                <w:rFonts w:ascii="宋体" w:hAnsi="宋体" w:eastAsia="宋体" w:cs="宋体"/>
                <w:color w:val="auto"/>
                <w:spacing w:val="4"/>
                <w:sz w:val="56"/>
                <w:szCs w:val="56"/>
              </w:rPr>
              <w:t>客户经理</w:t>
            </w:r>
          </w:p>
        </w:tc>
        <w:tc>
          <w:tcPr>
            <w:tcW w:w="3400" w:type="dxa"/>
            <w:vAlign w:val="center"/>
          </w:tcPr>
          <w:p>
            <w:pPr>
              <w:spacing w:before="172" w:line="221" w:lineRule="auto"/>
              <w:jc w:val="center"/>
              <w:rPr>
                <w:rFonts w:ascii="宋体" w:hAnsi="宋体" w:eastAsia="宋体" w:cs="宋体"/>
                <w:color w:val="auto"/>
                <w:spacing w:val="11"/>
                <w:sz w:val="53"/>
                <w:szCs w:val="53"/>
              </w:rPr>
            </w:pPr>
            <w:r>
              <w:rPr>
                <w:rFonts w:ascii="宋体" w:hAnsi="宋体" w:eastAsia="宋体" w:cs="宋体"/>
                <w:color w:val="auto"/>
                <w:spacing w:val="11"/>
                <w:sz w:val="53"/>
                <w:szCs w:val="53"/>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0" w:hRule="atLeast"/>
        </w:trPr>
        <w:tc>
          <w:tcPr>
            <w:tcW w:w="1634" w:type="dxa"/>
            <w:vMerge w:val="continue"/>
            <w:tcBorders>
              <w:left w:val="single" w:color="auto" w:sz="4" w:space="0"/>
              <w:right w:val="single" w:color="auto" w:sz="4" w:space="0"/>
            </w:tcBorders>
            <w:vAlign w:val="center"/>
          </w:tcPr>
          <w:p>
            <w:pPr>
              <w:jc w:val="center"/>
              <w:rPr>
                <w:rFonts w:ascii="Arial"/>
                <w:color w:val="auto"/>
                <w:sz w:val="21"/>
              </w:rPr>
            </w:pPr>
          </w:p>
        </w:tc>
        <w:tc>
          <w:tcPr>
            <w:tcW w:w="4350" w:type="dxa"/>
            <w:tcBorders>
              <w:left w:val="single" w:color="auto" w:sz="4" w:space="0"/>
            </w:tcBorders>
            <w:vAlign w:val="center"/>
          </w:tcPr>
          <w:p>
            <w:pPr>
              <w:spacing w:before="182" w:line="220" w:lineRule="auto"/>
              <w:jc w:val="center"/>
              <w:rPr>
                <w:rFonts w:ascii="宋体" w:hAnsi="宋体" w:eastAsia="宋体" w:cs="宋体"/>
                <w:color w:val="auto"/>
                <w:spacing w:val="3"/>
                <w:sz w:val="56"/>
                <w:szCs w:val="56"/>
              </w:rPr>
            </w:pPr>
            <w:r>
              <w:rPr>
                <w:rFonts w:ascii="宋体" w:hAnsi="宋体" w:eastAsia="宋体" w:cs="宋体"/>
                <w:color w:val="auto"/>
                <w:spacing w:val="3"/>
                <w:sz w:val="56"/>
                <w:szCs w:val="56"/>
              </w:rPr>
              <w:t>中间检查</w:t>
            </w:r>
          </w:p>
        </w:tc>
        <w:tc>
          <w:tcPr>
            <w:tcW w:w="2250" w:type="dxa"/>
            <w:vAlign w:val="center"/>
          </w:tcPr>
          <w:p>
            <w:pPr>
              <w:spacing w:before="173" w:line="184" w:lineRule="auto"/>
              <w:jc w:val="center"/>
              <w:rPr>
                <w:rFonts w:hint="eastAsia"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w:t>
            </w:r>
          </w:p>
        </w:tc>
        <w:tc>
          <w:tcPr>
            <w:tcW w:w="1950" w:type="dxa"/>
            <w:tcBorders>
              <w:right w:val="single" w:color="auto" w:sz="4" w:space="0"/>
            </w:tcBorders>
            <w:vAlign w:val="center"/>
          </w:tcPr>
          <w:p>
            <w:pPr>
              <w:spacing w:before="172" w:line="221" w:lineRule="auto"/>
              <w:jc w:val="center"/>
              <w:rPr>
                <w:rFonts w:hint="eastAsia" w:ascii="宋体" w:hAnsi="宋体" w:eastAsia="宋体" w:cs="宋体"/>
                <w:color w:val="auto"/>
                <w:spacing w:val="6"/>
                <w:sz w:val="51"/>
                <w:szCs w:val="51"/>
                <w:lang w:val="en-US" w:eastAsia="zh-CN"/>
              </w:rPr>
            </w:pPr>
            <w:r>
              <w:rPr>
                <w:rFonts w:hint="eastAsia" w:ascii="宋体" w:hAnsi="宋体" w:eastAsia="宋体" w:cs="宋体"/>
                <w:color w:val="auto"/>
                <w:spacing w:val="6"/>
                <w:sz w:val="51"/>
                <w:szCs w:val="51"/>
                <w:lang w:val="en-US" w:eastAsia="zh-CN"/>
              </w:rPr>
              <w:t>2</w:t>
            </w:r>
          </w:p>
        </w:tc>
        <w:tc>
          <w:tcPr>
            <w:tcW w:w="8950" w:type="dxa"/>
            <w:tcBorders>
              <w:top w:val="single" w:color="auto" w:sz="4" w:space="0"/>
              <w:left w:val="single" w:color="auto" w:sz="4" w:space="0"/>
              <w:bottom w:val="single" w:color="auto" w:sz="4" w:space="0"/>
              <w:right w:val="single" w:color="auto" w:sz="4" w:space="0"/>
            </w:tcBorders>
            <w:vAlign w:val="center"/>
          </w:tcPr>
          <w:p>
            <w:pPr>
              <w:spacing w:before="172" w:line="221" w:lineRule="auto"/>
              <w:jc w:val="left"/>
              <w:rPr>
                <w:rFonts w:ascii="宋体" w:hAnsi="宋体" w:eastAsia="宋体" w:cs="宋体"/>
                <w:color w:val="auto"/>
                <w:spacing w:val="6"/>
                <w:sz w:val="51"/>
                <w:szCs w:val="51"/>
              </w:rPr>
            </w:pPr>
            <w:r>
              <w:rPr>
                <w:rFonts w:hint="eastAsia" w:ascii="宋体" w:hAnsi="宋体" w:eastAsia="宋体" w:cs="宋体"/>
                <w:color w:val="auto"/>
                <w:spacing w:val="7"/>
                <w:sz w:val="53"/>
                <w:szCs w:val="53"/>
              </w:rPr>
              <w:t>与业扩配套工程施工同步开展，从接收受电工程中间检查申请开始计算</w:t>
            </w:r>
          </w:p>
        </w:tc>
        <w:tc>
          <w:tcPr>
            <w:tcW w:w="3013" w:type="dxa"/>
            <w:tcBorders>
              <w:left w:val="single" w:color="auto" w:sz="4" w:space="0"/>
            </w:tcBorders>
            <w:vAlign w:val="center"/>
          </w:tcPr>
          <w:p>
            <w:pPr>
              <w:spacing w:before="182" w:line="220" w:lineRule="auto"/>
              <w:jc w:val="center"/>
              <w:rPr>
                <w:rFonts w:ascii="宋体" w:hAnsi="宋体" w:eastAsia="宋体" w:cs="宋体"/>
                <w:color w:val="auto"/>
                <w:spacing w:val="4"/>
                <w:sz w:val="56"/>
                <w:szCs w:val="56"/>
              </w:rPr>
            </w:pPr>
            <w:r>
              <w:rPr>
                <w:rFonts w:ascii="宋体" w:hAnsi="宋体" w:eastAsia="宋体" w:cs="宋体"/>
                <w:color w:val="auto"/>
                <w:spacing w:val="4"/>
                <w:sz w:val="56"/>
                <w:szCs w:val="56"/>
              </w:rPr>
              <w:t>客户经理</w:t>
            </w:r>
          </w:p>
        </w:tc>
        <w:tc>
          <w:tcPr>
            <w:tcW w:w="3400" w:type="dxa"/>
            <w:vAlign w:val="center"/>
          </w:tcPr>
          <w:p>
            <w:pPr>
              <w:spacing w:before="182" w:line="220" w:lineRule="auto"/>
              <w:jc w:val="center"/>
              <w:rPr>
                <w:rFonts w:ascii="宋体" w:hAnsi="宋体" w:eastAsia="宋体" w:cs="宋体"/>
                <w:color w:val="auto"/>
                <w:spacing w:val="4"/>
                <w:sz w:val="56"/>
                <w:szCs w:val="56"/>
              </w:rPr>
            </w:pPr>
            <w:r>
              <w:rPr>
                <w:rFonts w:ascii="宋体" w:hAnsi="宋体" w:eastAsia="宋体" w:cs="宋体"/>
                <w:color w:val="auto"/>
                <w:spacing w:val="4"/>
                <w:sz w:val="56"/>
                <w:szCs w:val="56"/>
              </w:rPr>
              <w:t>营销服务部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8" w:hRule="atLeast"/>
        </w:trPr>
        <w:tc>
          <w:tcPr>
            <w:tcW w:w="1634" w:type="dxa"/>
            <w:vMerge w:val="continue"/>
            <w:tcBorders>
              <w:left w:val="single" w:color="auto" w:sz="4" w:space="0"/>
              <w:bottom w:val="single" w:color="auto" w:sz="4" w:space="0"/>
              <w:right w:val="single" w:color="auto" w:sz="4" w:space="0"/>
            </w:tcBorders>
            <w:vAlign w:val="center"/>
          </w:tcPr>
          <w:p>
            <w:pPr>
              <w:jc w:val="center"/>
              <w:rPr>
                <w:rFonts w:ascii="Arial"/>
                <w:color w:val="auto"/>
                <w:sz w:val="21"/>
              </w:rPr>
            </w:pPr>
          </w:p>
        </w:tc>
        <w:tc>
          <w:tcPr>
            <w:tcW w:w="4350" w:type="dxa"/>
            <w:tcBorders>
              <w:left w:val="single" w:color="auto" w:sz="4" w:space="0"/>
            </w:tcBorders>
            <w:vAlign w:val="center"/>
          </w:tcPr>
          <w:p>
            <w:pPr>
              <w:spacing w:before="182" w:line="220" w:lineRule="auto"/>
              <w:jc w:val="left"/>
              <w:rPr>
                <w:rFonts w:hint="default" w:ascii="宋体" w:hAnsi="宋体" w:eastAsia="宋体" w:cs="宋体"/>
                <w:color w:val="auto"/>
                <w:spacing w:val="8"/>
                <w:sz w:val="51"/>
                <w:szCs w:val="51"/>
                <w:lang w:val="en-US" w:eastAsia="zh-CN"/>
              </w:rPr>
            </w:pPr>
            <w:r>
              <w:rPr>
                <w:rFonts w:ascii="宋体" w:hAnsi="宋体" w:eastAsia="宋体" w:cs="宋体"/>
                <w:color w:val="auto"/>
                <w:spacing w:val="3"/>
                <w:sz w:val="56"/>
                <w:szCs w:val="56"/>
              </w:rPr>
              <w:t>签订合同、竣工检验</w:t>
            </w:r>
            <w:r>
              <w:rPr>
                <w:rFonts w:hint="eastAsia" w:ascii="宋体" w:hAnsi="宋体" w:eastAsia="宋体" w:cs="宋体"/>
                <w:color w:val="auto"/>
                <w:spacing w:val="3"/>
                <w:sz w:val="56"/>
                <w:szCs w:val="56"/>
                <w:lang w:val="en-US" w:eastAsia="zh-CN"/>
              </w:rPr>
              <w:t>及正式接电</w:t>
            </w:r>
          </w:p>
        </w:tc>
        <w:tc>
          <w:tcPr>
            <w:tcW w:w="2250" w:type="dxa"/>
            <w:vAlign w:val="center"/>
          </w:tcPr>
          <w:p>
            <w:pPr>
              <w:spacing w:before="173" w:line="184" w:lineRule="auto"/>
              <w:jc w:val="center"/>
              <w:rPr>
                <w:rFonts w:hint="eastAsia"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2</w:t>
            </w:r>
          </w:p>
        </w:tc>
        <w:tc>
          <w:tcPr>
            <w:tcW w:w="1950" w:type="dxa"/>
            <w:tcBorders>
              <w:right w:val="single" w:color="auto" w:sz="4" w:space="0"/>
            </w:tcBorders>
            <w:vAlign w:val="center"/>
          </w:tcPr>
          <w:p>
            <w:pPr>
              <w:spacing w:before="173" w:line="184" w:lineRule="auto"/>
              <w:jc w:val="center"/>
              <w:rPr>
                <w:rFonts w:hint="eastAsia" w:ascii="宋体" w:hAnsi="宋体" w:eastAsia="宋体" w:cs="宋体"/>
                <w:color w:val="auto"/>
                <w:sz w:val="53"/>
                <w:szCs w:val="53"/>
                <w:lang w:val="en-US" w:eastAsia="zh-CN"/>
              </w:rPr>
            </w:pPr>
            <w:r>
              <w:rPr>
                <w:rFonts w:hint="eastAsia" w:ascii="宋体" w:hAnsi="宋体" w:eastAsia="宋体" w:cs="宋体"/>
                <w:color w:val="auto"/>
                <w:sz w:val="53"/>
                <w:szCs w:val="53"/>
                <w:lang w:val="en-US" w:eastAsia="zh-CN"/>
              </w:rPr>
              <w:t>2</w:t>
            </w:r>
          </w:p>
        </w:tc>
        <w:tc>
          <w:tcPr>
            <w:tcW w:w="8950" w:type="dxa"/>
            <w:tcBorders>
              <w:top w:val="single" w:color="auto" w:sz="4" w:space="0"/>
              <w:left w:val="single" w:color="auto" w:sz="4" w:space="0"/>
              <w:bottom w:val="single" w:color="auto" w:sz="4" w:space="0"/>
              <w:right w:val="single" w:color="auto" w:sz="4" w:space="0"/>
            </w:tcBorders>
            <w:vAlign w:val="center"/>
          </w:tcPr>
          <w:p>
            <w:pPr>
              <w:spacing w:before="172" w:line="221" w:lineRule="auto"/>
              <w:jc w:val="center"/>
              <w:rPr>
                <w:rFonts w:hint="default" w:ascii="宋体" w:hAnsi="宋体" w:eastAsia="宋体" w:cs="宋体"/>
                <w:color w:val="auto"/>
                <w:spacing w:val="8"/>
                <w:sz w:val="53"/>
                <w:szCs w:val="53"/>
                <w:lang w:val="en-US" w:eastAsia="zh-CN"/>
              </w:rPr>
            </w:pPr>
            <w:r>
              <w:rPr>
                <w:rFonts w:hint="eastAsia" w:ascii="宋体" w:hAnsi="宋体" w:eastAsia="宋体" w:cs="宋体"/>
                <w:color w:val="auto"/>
                <w:spacing w:val="7"/>
                <w:sz w:val="53"/>
                <w:szCs w:val="53"/>
                <w:lang w:val="en-US" w:eastAsia="zh-CN"/>
              </w:rPr>
              <w:t>从接收客户受电工程竣工检验申请开始计算，对于一次验收通过的客户当天完成装表接电</w:t>
            </w:r>
          </w:p>
        </w:tc>
        <w:tc>
          <w:tcPr>
            <w:tcW w:w="3013" w:type="dxa"/>
            <w:tcBorders>
              <w:left w:val="single" w:color="auto" w:sz="4" w:space="0"/>
            </w:tcBorders>
            <w:vAlign w:val="center"/>
          </w:tcPr>
          <w:p>
            <w:pPr>
              <w:spacing w:before="182" w:line="220" w:lineRule="auto"/>
              <w:jc w:val="center"/>
              <w:rPr>
                <w:rFonts w:ascii="宋体" w:hAnsi="宋体" w:eastAsia="宋体" w:cs="宋体"/>
                <w:color w:val="auto"/>
                <w:spacing w:val="4"/>
                <w:sz w:val="56"/>
                <w:szCs w:val="56"/>
              </w:rPr>
            </w:pPr>
            <w:r>
              <w:rPr>
                <w:rFonts w:ascii="宋体" w:hAnsi="宋体" w:eastAsia="宋体" w:cs="宋体"/>
                <w:color w:val="auto"/>
                <w:spacing w:val="4"/>
                <w:sz w:val="56"/>
                <w:szCs w:val="56"/>
              </w:rPr>
              <w:t>客户经理</w:t>
            </w:r>
          </w:p>
        </w:tc>
        <w:tc>
          <w:tcPr>
            <w:tcW w:w="3400" w:type="dxa"/>
            <w:vAlign w:val="center"/>
          </w:tcPr>
          <w:p>
            <w:pPr>
              <w:spacing w:before="182" w:line="220" w:lineRule="auto"/>
              <w:jc w:val="center"/>
              <w:rPr>
                <w:rFonts w:ascii="宋体" w:hAnsi="宋体" w:eastAsia="宋体" w:cs="宋体"/>
                <w:color w:val="auto"/>
                <w:spacing w:val="4"/>
                <w:sz w:val="56"/>
                <w:szCs w:val="56"/>
              </w:rPr>
            </w:pPr>
            <w:r>
              <w:rPr>
                <w:rFonts w:ascii="宋体" w:hAnsi="宋体" w:eastAsia="宋体" w:cs="宋体"/>
                <w:color w:val="auto"/>
                <w:spacing w:val="4"/>
                <w:sz w:val="56"/>
                <w:szCs w:val="56"/>
              </w:rPr>
              <w:t>营销服务部</w:t>
            </w:r>
          </w:p>
        </w:tc>
      </w:tr>
    </w:tbl>
    <w:p>
      <w:pPr>
        <w:pStyle w:val="2"/>
        <w:sectPr>
          <w:pgSz w:w="31680" w:h="22401"/>
          <w:pgMar w:top="1904" w:right="3712" w:bottom="3029" w:left="1755" w:header="0" w:footer="2552" w:gutter="0"/>
          <w:cols w:space="720" w:num="1"/>
        </w:sectPr>
      </w:pPr>
    </w:p>
    <w:p>
      <w:pPr>
        <w:sectPr>
          <w:pgSz w:w="31680" w:h="22401"/>
          <w:pgMar w:top="1904" w:right="3712" w:bottom="3029" w:left="1755" w:header="0" w:footer="2552" w:gutter="0"/>
          <w:cols w:space="720" w:num="1"/>
        </w:sectPr>
      </w:pPr>
    </w:p>
    <w:p>
      <w:pPr>
        <w:pStyle w:val="2"/>
        <w:ind w:left="0" w:leftChars="0" w:firstLine="0" w:firstLineChars="0"/>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3C208879-BC0E-4BA6-9FFA-3305B82F949E}"/>
  </w:font>
  <w:font w:name="黑体">
    <w:panose1 w:val="02010609060101010101"/>
    <w:charset w:val="86"/>
    <w:family w:val="auto"/>
    <w:pitch w:val="default"/>
    <w:sig w:usb0="800002BF" w:usb1="38CF7CFA" w:usb2="00000016" w:usb3="00000000" w:csb0="00040001" w:csb1="00000000"/>
    <w:embedRegular r:id="rId2" w:fontKey="{9159E328-F11B-467A-B190-181C1E2BCC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embedRegular r:id="rId3" w:fontKey="{B6FE8368-D796-419B-8EA2-64AF2D883EAA}"/>
  </w:font>
  <w:font w:name="仿宋_GB2312">
    <w:panose1 w:val="02010609030101010101"/>
    <w:charset w:val="86"/>
    <w:family w:val="auto"/>
    <w:pitch w:val="default"/>
    <w:sig w:usb0="00000001" w:usb1="080E0000" w:usb2="00000000" w:usb3="00000000" w:csb0="00040000" w:csb1="00000000"/>
    <w:embedRegular r:id="rId4" w:fontKey="{C3605338-43C7-48E4-B475-2A0F25F2BD97}"/>
  </w:font>
  <w:font w:name="仿宋">
    <w:panose1 w:val="02010609060101010101"/>
    <w:charset w:val="86"/>
    <w:family w:val="modern"/>
    <w:pitch w:val="default"/>
    <w:sig w:usb0="800002BF" w:usb1="38CF7CFA" w:usb2="00000016" w:usb3="00000000" w:csb0="00040001" w:csb1="00000000"/>
    <w:embedRegular r:id="rId5" w:fontKey="{E8C00251-F53D-48C6-8000-546AAB6B2510}"/>
  </w:font>
  <w:font w:name="楷体_GB2312">
    <w:panose1 w:val="02010609030101010101"/>
    <w:charset w:val="86"/>
    <w:family w:val="auto"/>
    <w:pitch w:val="default"/>
    <w:sig w:usb0="00000000" w:usb1="00000000" w:usb2="00000000" w:usb3="00000000" w:csb0="00000000" w:csb1="00000000"/>
    <w:embedRegular r:id="rId6" w:fontKey="{3ECA8536-AA87-40A0-85C5-6A7FFF8D6417}"/>
  </w:font>
  <w:font w:name="楷体">
    <w:panose1 w:val="02010609060101010101"/>
    <w:charset w:val="86"/>
    <w:family w:val="auto"/>
    <w:pitch w:val="default"/>
    <w:sig w:usb0="800002BF" w:usb1="38CF7CFA" w:usb2="00000016" w:usb3="00000000" w:csb0="00040001" w:csb1="00000000"/>
    <w:embedRegular r:id="rId7" w:fontKey="{7F0CE703-51BE-4F7F-8570-1BA25585B1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jc w:val="right"/>
      <w:rPr>
        <w:rFonts w:ascii="宋体" w:hAnsi="宋体" w:eastAsia="宋体" w:cs="宋体"/>
        <w:sz w:val="43"/>
        <w:szCs w:val="4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3" w:lineRule="auto"/>
      <w:ind w:left="99"/>
      <w:rPr>
        <w:rFonts w:ascii="宋体" w:hAnsi="宋体" w:eastAsia="宋体" w:cs="宋体"/>
        <w:sz w:val="48"/>
        <w:szCs w:val="48"/>
      </w:rPr>
    </w:pPr>
    <w:r>
      <w:rPr>
        <w:rFonts w:ascii="宋体" w:hAnsi="宋体" w:eastAsia="宋体" w:cs="宋体"/>
        <w:color w:val="20204E"/>
        <w:sz w:val="48"/>
        <w:szCs w:val="48"/>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FA8D40"/>
    <w:multiLevelType w:val="singleLevel"/>
    <w:tmpl w:val="AAFA8D40"/>
    <w:lvl w:ilvl="0" w:tentative="0">
      <w:start w:val="1"/>
      <w:numFmt w:val="decimal"/>
      <w:lvlText w:val="(%1)"/>
      <w:lvlJc w:val="left"/>
      <w:pPr>
        <w:tabs>
          <w:tab w:val="left" w:pos="312"/>
        </w:tabs>
      </w:pPr>
    </w:lvl>
  </w:abstractNum>
  <w:abstractNum w:abstractNumId="1">
    <w:nsid w:val="CABED539"/>
    <w:multiLevelType w:val="singleLevel"/>
    <w:tmpl w:val="CABED539"/>
    <w:lvl w:ilvl="0" w:tentative="0">
      <w:start w:val="1"/>
      <w:numFmt w:val="decimal"/>
      <w:lvlText w:val="(%1)"/>
      <w:lvlJc w:val="left"/>
      <w:pPr>
        <w:tabs>
          <w:tab w:val="left" w:pos="312"/>
        </w:tabs>
      </w:pPr>
    </w:lvl>
  </w:abstractNum>
  <w:abstractNum w:abstractNumId="2">
    <w:nsid w:val="1B4A34A0"/>
    <w:multiLevelType w:val="singleLevel"/>
    <w:tmpl w:val="1B4A34A0"/>
    <w:lvl w:ilvl="0" w:tentative="0">
      <w:start w:val="1"/>
      <w:numFmt w:val="decimal"/>
      <w:lvlText w:val="(%1)"/>
      <w:lvlJc w:val="left"/>
      <w:pPr>
        <w:tabs>
          <w:tab w:val="left" w:pos="312"/>
        </w:tabs>
      </w:pPr>
    </w:lvl>
  </w:abstractNum>
  <w:abstractNum w:abstractNumId="3">
    <w:nsid w:val="6A9E1170"/>
    <w:multiLevelType w:val="singleLevel"/>
    <w:tmpl w:val="6A9E1170"/>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embedTrueTypeFonts/>
  <w:saveSubsetFonts/>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NjA3MGQxMTRhOGI4YTU1NzJhMmY1ODU1ZTBjMDcifQ=="/>
  </w:docVars>
  <w:rsids>
    <w:rsidRoot w:val="632C023C"/>
    <w:rsid w:val="0007058A"/>
    <w:rsid w:val="000772AC"/>
    <w:rsid w:val="00091541"/>
    <w:rsid w:val="001321BC"/>
    <w:rsid w:val="0018090F"/>
    <w:rsid w:val="00191299"/>
    <w:rsid w:val="001934A0"/>
    <w:rsid w:val="001E178A"/>
    <w:rsid w:val="002049F4"/>
    <w:rsid w:val="002266CF"/>
    <w:rsid w:val="00252AF7"/>
    <w:rsid w:val="0025528A"/>
    <w:rsid w:val="00255A96"/>
    <w:rsid w:val="00265FBE"/>
    <w:rsid w:val="002806A8"/>
    <w:rsid w:val="0029595F"/>
    <w:rsid w:val="002A2658"/>
    <w:rsid w:val="002E7869"/>
    <w:rsid w:val="0030515C"/>
    <w:rsid w:val="003128E1"/>
    <w:rsid w:val="00334A1B"/>
    <w:rsid w:val="00363ABA"/>
    <w:rsid w:val="00380457"/>
    <w:rsid w:val="003834FA"/>
    <w:rsid w:val="003A5F58"/>
    <w:rsid w:val="003C7C67"/>
    <w:rsid w:val="003D6CBB"/>
    <w:rsid w:val="0042779F"/>
    <w:rsid w:val="00455766"/>
    <w:rsid w:val="00492B12"/>
    <w:rsid w:val="0049574D"/>
    <w:rsid w:val="004A142C"/>
    <w:rsid w:val="004F04D9"/>
    <w:rsid w:val="005258CF"/>
    <w:rsid w:val="00527E6D"/>
    <w:rsid w:val="00531C45"/>
    <w:rsid w:val="005555A0"/>
    <w:rsid w:val="00555ECC"/>
    <w:rsid w:val="0059102C"/>
    <w:rsid w:val="005F4247"/>
    <w:rsid w:val="00601DBA"/>
    <w:rsid w:val="006537B3"/>
    <w:rsid w:val="006F0EE9"/>
    <w:rsid w:val="0070712D"/>
    <w:rsid w:val="0071597F"/>
    <w:rsid w:val="007D5F04"/>
    <w:rsid w:val="008008F6"/>
    <w:rsid w:val="00826BFC"/>
    <w:rsid w:val="00884537"/>
    <w:rsid w:val="00897C4D"/>
    <w:rsid w:val="008A0318"/>
    <w:rsid w:val="008C26CB"/>
    <w:rsid w:val="008E5D8C"/>
    <w:rsid w:val="008F114A"/>
    <w:rsid w:val="00917F51"/>
    <w:rsid w:val="009A3E2D"/>
    <w:rsid w:val="009D6F6F"/>
    <w:rsid w:val="00A14946"/>
    <w:rsid w:val="00A805F0"/>
    <w:rsid w:val="00A8527C"/>
    <w:rsid w:val="00A9440C"/>
    <w:rsid w:val="00AD5A91"/>
    <w:rsid w:val="00B01E45"/>
    <w:rsid w:val="00B16125"/>
    <w:rsid w:val="00B60AA8"/>
    <w:rsid w:val="00BA2B4E"/>
    <w:rsid w:val="00BB5F23"/>
    <w:rsid w:val="00BB689F"/>
    <w:rsid w:val="00C849A2"/>
    <w:rsid w:val="00CB731B"/>
    <w:rsid w:val="00D1604D"/>
    <w:rsid w:val="00D25DEB"/>
    <w:rsid w:val="00D31DDD"/>
    <w:rsid w:val="00DB5B2A"/>
    <w:rsid w:val="00DE0ED9"/>
    <w:rsid w:val="00DF05CC"/>
    <w:rsid w:val="00E014CB"/>
    <w:rsid w:val="00E5068B"/>
    <w:rsid w:val="00E63BC3"/>
    <w:rsid w:val="00EA3B9C"/>
    <w:rsid w:val="00EC57B6"/>
    <w:rsid w:val="00ED3B2B"/>
    <w:rsid w:val="00EE43C4"/>
    <w:rsid w:val="00EE61B2"/>
    <w:rsid w:val="00EF7BB1"/>
    <w:rsid w:val="00F13E6B"/>
    <w:rsid w:val="00FA1303"/>
    <w:rsid w:val="010A795B"/>
    <w:rsid w:val="011520F3"/>
    <w:rsid w:val="014805DB"/>
    <w:rsid w:val="01730582"/>
    <w:rsid w:val="023A4BFB"/>
    <w:rsid w:val="023A586D"/>
    <w:rsid w:val="024216EA"/>
    <w:rsid w:val="025114EE"/>
    <w:rsid w:val="02EF1E8A"/>
    <w:rsid w:val="031A090C"/>
    <w:rsid w:val="03253AFD"/>
    <w:rsid w:val="0365214C"/>
    <w:rsid w:val="0365579C"/>
    <w:rsid w:val="03830824"/>
    <w:rsid w:val="03B24D2E"/>
    <w:rsid w:val="03B93E5E"/>
    <w:rsid w:val="03BB3E3F"/>
    <w:rsid w:val="03BB7FBE"/>
    <w:rsid w:val="03E545BA"/>
    <w:rsid w:val="03E70823"/>
    <w:rsid w:val="03EC0C47"/>
    <w:rsid w:val="04233155"/>
    <w:rsid w:val="043162AA"/>
    <w:rsid w:val="043233AC"/>
    <w:rsid w:val="046F3471"/>
    <w:rsid w:val="04A32F98"/>
    <w:rsid w:val="04D07C7E"/>
    <w:rsid w:val="04F204FD"/>
    <w:rsid w:val="0538300F"/>
    <w:rsid w:val="055622AB"/>
    <w:rsid w:val="056001B6"/>
    <w:rsid w:val="058E74B8"/>
    <w:rsid w:val="05940D8C"/>
    <w:rsid w:val="059773ED"/>
    <w:rsid w:val="06350618"/>
    <w:rsid w:val="06580D3E"/>
    <w:rsid w:val="065B79BE"/>
    <w:rsid w:val="0673692E"/>
    <w:rsid w:val="06A334E9"/>
    <w:rsid w:val="06AA3194"/>
    <w:rsid w:val="06E21023"/>
    <w:rsid w:val="07177643"/>
    <w:rsid w:val="077706A0"/>
    <w:rsid w:val="079A6738"/>
    <w:rsid w:val="07B03EC5"/>
    <w:rsid w:val="07B436A2"/>
    <w:rsid w:val="07B47158"/>
    <w:rsid w:val="07E04497"/>
    <w:rsid w:val="07E43B00"/>
    <w:rsid w:val="07E45C12"/>
    <w:rsid w:val="08514A4D"/>
    <w:rsid w:val="086B6D03"/>
    <w:rsid w:val="086F7F63"/>
    <w:rsid w:val="088B3C51"/>
    <w:rsid w:val="08935065"/>
    <w:rsid w:val="08996361"/>
    <w:rsid w:val="08CC4A1B"/>
    <w:rsid w:val="08F913C2"/>
    <w:rsid w:val="09025DD7"/>
    <w:rsid w:val="095011A8"/>
    <w:rsid w:val="09611C4E"/>
    <w:rsid w:val="09D0701F"/>
    <w:rsid w:val="0A3C34DB"/>
    <w:rsid w:val="0A450B6B"/>
    <w:rsid w:val="0A485497"/>
    <w:rsid w:val="0A4C7BC2"/>
    <w:rsid w:val="0A5635BA"/>
    <w:rsid w:val="0A6C3444"/>
    <w:rsid w:val="0AEC38B0"/>
    <w:rsid w:val="0B224339"/>
    <w:rsid w:val="0B5A00BC"/>
    <w:rsid w:val="0B7D1356"/>
    <w:rsid w:val="0B810491"/>
    <w:rsid w:val="0BAE3F2E"/>
    <w:rsid w:val="0BB21851"/>
    <w:rsid w:val="0BB90B94"/>
    <w:rsid w:val="0BF35CBD"/>
    <w:rsid w:val="0BF92918"/>
    <w:rsid w:val="0BFF6557"/>
    <w:rsid w:val="0C0A61C9"/>
    <w:rsid w:val="0C0B13B7"/>
    <w:rsid w:val="0C3E76BB"/>
    <w:rsid w:val="0C4900DF"/>
    <w:rsid w:val="0C4C336B"/>
    <w:rsid w:val="0C721436"/>
    <w:rsid w:val="0C8A0CBF"/>
    <w:rsid w:val="0CC51EAD"/>
    <w:rsid w:val="0CF87B8D"/>
    <w:rsid w:val="0CFB58CF"/>
    <w:rsid w:val="0D1D2A85"/>
    <w:rsid w:val="0D317FF3"/>
    <w:rsid w:val="0D503B0B"/>
    <w:rsid w:val="0D6C40D7"/>
    <w:rsid w:val="0D811D3E"/>
    <w:rsid w:val="0DA34E9B"/>
    <w:rsid w:val="0DC907CA"/>
    <w:rsid w:val="0DDC0097"/>
    <w:rsid w:val="0DF65802"/>
    <w:rsid w:val="0E106A78"/>
    <w:rsid w:val="0E1E4D10"/>
    <w:rsid w:val="0E7B2823"/>
    <w:rsid w:val="0EA06CB7"/>
    <w:rsid w:val="0ED7727A"/>
    <w:rsid w:val="0F2E6E4B"/>
    <w:rsid w:val="0FD91136"/>
    <w:rsid w:val="0FEB207E"/>
    <w:rsid w:val="10152C33"/>
    <w:rsid w:val="10A464C0"/>
    <w:rsid w:val="10A50FB6"/>
    <w:rsid w:val="10C83E86"/>
    <w:rsid w:val="10F46D27"/>
    <w:rsid w:val="111B13CB"/>
    <w:rsid w:val="1159557D"/>
    <w:rsid w:val="11940A40"/>
    <w:rsid w:val="119F0A61"/>
    <w:rsid w:val="12685B93"/>
    <w:rsid w:val="127F04F4"/>
    <w:rsid w:val="12A0236A"/>
    <w:rsid w:val="12BC27FD"/>
    <w:rsid w:val="12D23B2E"/>
    <w:rsid w:val="1304590B"/>
    <w:rsid w:val="130F67B8"/>
    <w:rsid w:val="131109C2"/>
    <w:rsid w:val="1346303C"/>
    <w:rsid w:val="13932EBD"/>
    <w:rsid w:val="13960C81"/>
    <w:rsid w:val="13CB5FFB"/>
    <w:rsid w:val="145639A7"/>
    <w:rsid w:val="146156E1"/>
    <w:rsid w:val="14815618"/>
    <w:rsid w:val="14894B16"/>
    <w:rsid w:val="149629A0"/>
    <w:rsid w:val="14A71AAC"/>
    <w:rsid w:val="1529753B"/>
    <w:rsid w:val="15423C08"/>
    <w:rsid w:val="1578788E"/>
    <w:rsid w:val="15A10F61"/>
    <w:rsid w:val="15B01634"/>
    <w:rsid w:val="16051AA4"/>
    <w:rsid w:val="161B404A"/>
    <w:rsid w:val="16355A4A"/>
    <w:rsid w:val="16396417"/>
    <w:rsid w:val="164608EF"/>
    <w:rsid w:val="165E7821"/>
    <w:rsid w:val="16CB6312"/>
    <w:rsid w:val="171B025C"/>
    <w:rsid w:val="172B0DE8"/>
    <w:rsid w:val="172D2CB3"/>
    <w:rsid w:val="17582776"/>
    <w:rsid w:val="177135B6"/>
    <w:rsid w:val="177D1E54"/>
    <w:rsid w:val="17897821"/>
    <w:rsid w:val="17E76191"/>
    <w:rsid w:val="17F43C21"/>
    <w:rsid w:val="18021A7F"/>
    <w:rsid w:val="18510CB5"/>
    <w:rsid w:val="186B30A2"/>
    <w:rsid w:val="187D188E"/>
    <w:rsid w:val="18886814"/>
    <w:rsid w:val="189E2829"/>
    <w:rsid w:val="18B20C2D"/>
    <w:rsid w:val="18FE0234"/>
    <w:rsid w:val="19132580"/>
    <w:rsid w:val="193C7538"/>
    <w:rsid w:val="1949324D"/>
    <w:rsid w:val="194D5AED"/>
    <w:rsid w:val="19560718"/>
    <w:rsid w:val="195D5C7D"/>
    <w:rsid w:val="195D67D0"/>
    <w:rsid w:val="19843874"/>
    <w:rsid w:val="199C1D26"/>
    <w:rsid w:val="19A81429"/>
    <w:rsid w:val="19E46C34"/>
    <w:rsid w:val="19ED02E5"/>
    <w:rsid w:val="19F618F8"/>
    <w:rsid w:val="1A206EEB"/>
    <w:rsid w:val="1A2C2964"/>
    <w:rsid w:val="1A314362"/>
    <w:rsid w:val="1A783892"/>
    <w:rsid w:val="1A8E2BB2"/>
    <w:rsid w:val="1A9A207A"/>
    <w:rsid w:val="1AF76773"/>
    <w:rsid w:val="1B1959FF"/>
    <w:rsid w:val="1B1A3DB6"/>
    <w:rsid w:val="1B20331B"/>
    <w:rsid w:val="1B3052FA"/>
    <w:rsid w:val="1B3D1939"/>
    <w:rsid w:val="1B99683F"/>
    <w:rsid w:val="1BAA1B24"/>
    <w:rsid w:val="1C0D0CC8"/>
    <w:rsid w:val="1C1C00B3"/>
    <w:rsid w:val="1C69756F"/>
    <w:rsid w:val="1C974B94"/>
    <w:rsid w:val="1CC738E6"/>
    <w:rsid w:val="1CE27F12"/>
    <w:rsid w:val="1CEE780A"/>
    <w:rsid w:val="1CF21E4D"/>
    <w:rsid w:val="1D2074AF"/>
    <w:rsid w:val="1D3900C3"/>
    <w:rsid w:val="1D5D62C4"/>
    <w:rsid w:val="1D947473"/>
    <w:rsid w:val="1DA12006"/>
    <w:rsid w:val="1DB83A1E"/>
    <w:rsid w:val="1DD805B8"/>
    <w:rsid w:val="1DDC7D45"/>
    <w:rsid w:val="1E3C74D4"/>
    <w:rsid w:val="1E6A32E1"/>
    <w:rsid w:val="1E6E1383"/>
    <w:rsid w:val="1E8B1488"/>
    <w:rsid w:val="1EF51D9A"/>
    <w:rsid w:val="1EF74148"/>
    <w:rsid w:val="1EF87EC0"/>
    <w:rsid w:val="1F3048DC"/>
    <w:rsid w:val="1F306598"/>
    <w:rsid w:val="1F863B91"/>
    <w:rsid w:val="1F99091F"/>
    <w:rsid w:val="1FFC46F4"/>
    <w:rsid w:val="202F19BF"/>
    <w:rsid w:val="203F5E7C"/>
    <w:rsid w:val="20684BD2"/>
    <w:rsid w:val="206C0909"/>
    <w:rsid w:val="207B40F5"/>
    <w:rsid w:val="20857532"/>
    <w:rsid w:val="208C13E7"/>
    <w:rsid w:val="208C7D22"/>
    <w:rsid w:val="20966EA7"/>
    <w:rsid w:val="20A112E2"/>
    <w:rsid w:val="20AC4ABE"/>
    <w:rsid w:val="20E628BD"/>
    <w:rsid w:val="21006EE5"/>
    <w:rsid w:val="216E6218"/>
    <w:rsid w:val="21951942"/>
    <w:rsid w:val="21E76679"/>
    <w:rsid w:val="21ED3680"/>
    <w:rsid w:val="21FC7CC7"/>
    <w:rsid w:val="227F7259"/>
    <w:rsid w:val="22E04EF3"/>
    <w:rsid w:val="232239BB"/>
    <w:rsid w:val="23242327"/>
    <w:rsid w:val="23583FA5"/>
    <w:rsid w:val="237925CB"/>
    <w:rsid w:val="23DF6B2A"/>
    <w:rsid w:val="23E91BF9"/>
    <w:rsid w:val="24047C1E"/>
    <w:rsid w:val="241749DE"/>
    <w:rsid w:val="242E1C8A"/>
    <w:rsid w:val="24324E65"/>
    <w:rsid w:val="243510E8"/>
    <w:rsid w:val="245423E3"/>
    <w:rsid w:val="24925A8E"/>
    <w:rsid w:val="24D6035C"/>
    <w:rsid w:val="25355028"/>
    <w:rsid w:val="25381017"/>
    <w:rsid w:val="25AB0E64"/>
    <w:rsid w:val="260B4931"/>
    <w:rsid w:val="262222D6"/>
    <w:rsid w:val="265679E5"/>
    <w:rsid w:val="26AB29E1"/>
    <w:rsid w:val="26AC40FD"/>
    <w:rsid w:val="26AF07EB"/>
    <w:rsid w:val="26B7240F"/>
    <w:rsid w:val="26DA3DC6"/>
    <w:rsid w:val="26F176CF"/>
    <w:rsid w:val="27201D62"/>
    <w:rsid w:val="2742460B"/>
    <w:rsid w:val="27606603"/>
    <w:rsid w:val="27633F93"/>
    <w:rsid w:val="27963AF1"/>
    <w:rsid w:val="279B3676"/>
    <w:rsid w:val="27A95A39"/>
    <w:rsid w:val="27E62FAC"/>
    <w:rsid w:val="282E16AE"/>
    <w:rsid w:val="28976054"/>
    <w:rsid w:val="28B673D6"/>
    <w:rsid w:val="28CD6144"/>
    <w:rsid w:val="28D03886"/>
    <w:rsid w:val="28D64DCE"/>
    <w:rsid w:val="28F416F8"/>
    <w:rsid w:val="290C1872"/>
    <w:rsid w:val="29235A79"/>
    <w:rsid w:val="294645D2"/>
    <w:rsid w:val="29911ECA"/>
    <w:rsid w:val="29E21790"/>
    <w:rsid w:val="2A246D60"/>
    <w:rsid w:val="2A2913A9"/>
    <w:rsid w:val="2A587A65"/>
    <w:rsid w:val="2A697B7F"/>
    <w:rsid w:val="2A7E530D"/>
    <w:rsid w:val="2AAE026F"/>
    <w:rsid w:val="2AB3500E"/>
    <w:rsid w:val="2ABC3423"/>
    <w:rsid w:val="2B5A1C31"/>
    <w:rsid w:val="2B746B21"/>
    <w:rsid w:val="2BF31158"/>
    <w:rsid w:val="2C505FC3"/>
    <w:rsid w:val="2C902873"/>
    <w:rsid w:val="2C9F3729"/>
    <w:rsid w:val="2CA06D5E"/>
    <w:rsid w:val="2CA425CD"/>
    <w:rsid w:val="2CB2345D"/>
    <w:rsid w:val="2CBC077F"/>
    <w:rsid w:val="2CD16667"/>
    <w:rsid w:val="2CF10112"/>
    <w:rsid w:val="2CF5678B"/>
    <w:rsid w:val="2D0D68B9"/>
    <w:rsid w:val="2D370297"/>
    <w:rsid w:val="2D7E4D48"/>
    <w:rsid w:val="2DA97C81"/>
    <w:rsid w:val="2DBF6664"/>
    <w:rsid w:val="2DCF3E14"/>
    <w:rsid w:val="2DD16782"/>
    <w:rsid w:val="2DFB7AF8"/>
    <w:rsid w:val="2E1C491F"/>
    <w:rsid w:val="2E266033"/>
    <w:rsid w:val="2E2B796A"/>
    <w:rsid w:val="2E6F3969"/>
    <w:rsid w:val="2E9A0B9C"/>
    <w:rsid w:val="2ECB2EFB"/>
    <w:rsid w:val="2F1228D8"/>
    <w:rsid w:val="2F3F1144"/>
    <w:rsid w:val="2F5429C2"/>
    <w:rsid w:val="2F772C5C"/>
    <w:rsid w:val="2FC65265"/>
    <w:rsid w:val="2FCC2A87"/>
    <w:rsid w:val="2FD066FC"/>
    <w:rsid w:val="2FDE5D01"/>
    <w:rsid w:val="2FE6661E"/>
    <w:rsid w:val="2FF635CC"/>
    <w:rsid w:val="302B3A32"/>
    <w:rsid w:val="310E3369"/>
    <w:rsid w:val="312132A7"/>
    <w:rsid w:val="31232473"/>
    <w:rsid w:val="314D20CF"/>
    <w:rsid w:val="31905D36"/>
    <w:rsid w:val="326D5501"/>
    <w:rsid w:val="32D85BE7"/>
    <w:rsid w:val="33083DB8"/>
    <w:rsid w:val="332F013B"/>
    <w:rsid w:val="334212B2"/>
    <w:rsid w:val="33692CF4"/>
    <w:rsid w:val="338D644F"/>
    <w:rsid w:val="339453DF"/>
    <w:rsid w:val="33C7466E"/>
    <w:rsid w:val="33D02B95"/>
    <w:rsid w:val="33E06BD1"/>
    <w:rsid w:val="33EC0218"/>
    <w:rsid w:val="34083447"/>
    <w:rsid w:val="341113B0"/>
    <w:rsid w:val="34572B3B"/>
    <w:rsid w:val="34595C54"/>
    <w:rsid w:val="348070CC"/>
    <w:rsid w:val="3486201E"/>
    <w:rsid w:val="34EC65B9"/>
    <w:rsid w:val="35232606"/>
    <w:rsid w:val="354C3CF2"/>
    <w:rsid w:val="357A7560"/>
    <w:rsid w:val="3592155D"/>
    <w:rsid w:val="35935365"/>
    <w:rsid w:val="359D0C08"/>
    <w:rsid w:val="35A730EE"/>
    <w:rsid w:val="35B043B7"/>
    <w:rsid w:val="35B50E76"/>
    <w:rsid w:val="35B5458F"/>
    <w:rsid w:val="35B71AE4"/>
    <w:rsid w:val="35DE564C"/>
    <w:rsid w:val="35EB260F"/>
    <w:rsid w:val="35F41DFD"/>
    <w:rsid w:val="363644F4"/>
    <w:rsid w:val="36484E32"/>
    <w:rsid w:val="366F2FCA"/>
    <w:rsid w:val="368E1F43"/>
    <w:rsid w:val="36A55DE0"/>
    <w:rsid w:val="36BE2B53"/>
    <w:rsid w:val="36C00E6C"/>
    <w:rsid w:val="36D7346A"/>
    <w:rsid w:val="371F7229"/>
    <w:rsid w:val="372075EC"/>
    <w:rsid w:val="37531CE0"/>
    <w:rsid w:val="377242DF"/>
    <w:rsid w:val="37905FB5"/>
    <w:rsid w:val="37B54591"/>
    <w:rsid w:val="37F34523"/>
    <w:rsid w:val="38241AB4"/>
    <w:rsid w:val="384A6C3F"/>
    <w:rsid w:val="388A34DF"/>
    <w:rsid w:val="38944464"/>
    <w:rsid w:val="38C405A4"/>
    <w:rsid w:val="38C947C7"/>
    <w:rsid w:val="38E77AB1"/>
    <w:rsid w:val="38F8669B"/>
    <w:rsid w:val="392F76B3"/>
    <w:rsid w:val="394B7113"/>
    <w:rsid w:val="39873EC3"/>
    <w:rsid w:val="399436D2"/>
    <w:rsid w:val="39A0637B"/>
    <w:rsid w:val="39AC4C55"/>
    <w:rsid w:val="39C742BF"/>
    <w:rsid w:val="39F35B29"/>
    <w:rsid w:val="3A16604D"/>
    <w:rsid w:val="3A4B43BA"/>
    <w:rsid w:val="3A593A0D"/>
    <w:rsid w:val="3A8D7DF7"/>
    <w:rsid w:val="3B277ECA"/>
    <w:rsid w:val="3B3F3A14"/>
    <w:rsid w:val="3B9823B7"/>
    <w:rsid w:val="3BB70A8F"/>
    <w:rsid w:val="3BC50D16"/>
    <w:rsid w:val="3BD20210"/>
    <w:rsid w:val="3BFF41E4"/>
    <w:rsid w:val="3C0A4FC2"/>
    <w:rsid w:val="3C3430D2"/>
    <w:rsid w:val="3C420AA3"/>
    <w:rsid w:val="3C622E39"/>
    <w:rsid w:val="3C7C637D"/>
    <w:rsid w:val="3C8F5568"/>
    <w:rsid w:val="3C9C5234"/>
    <w:rsid w:val="3CA228E3"/>
    <w:rsid w:val="3D077B5B"/>
    <w:rsid w:val="3DEB657A"/>
    <w:rsid w:val="3E014244"/>
    <w:rsid w:val="3E2D2AD1"/>
    <w:rsid w:val="3E47621E"/>
    <w:rsid w:val="3E8B6203"/>
    <w:rsid w:val="3EA4211F"/>
    <w:rsid w:val="3EBC63BD"/>
    <w:rsid w:val="3EC3599D"/>
    <w:rsid w:val="3ECA5FF7"/>
    <w:rsid w:val="3F375A43"/>
    <w:rsid w:val="3F4701A0"/>
    <w:rsid w:val="3F833D47"/>
    <w:rsid w:val="3F931286"/>
    <w:rsid w:val="3FA15F60"/>
    <w:rsid w:val="3FC9294A"/>
    <w:rsid w:val="3FC92B3F"/>
    <w:rsid w:val="3FFD7069"/>
    <w:rsid w:val="403328FD"/>
    <w:rsid w:val="40647A56"/>
    <w:rsid w:val="40AF62EF"/>
    <w:rsid w:val="40B040D7"/>
    <w:rsid w:val="40BB1F27"/>
    <w:rsid w:val="40E83987"/>
    <w:rsid w:val="40EA12CE"/>
    <w:rsid w:val="412764F7"/>
    <w:rsid w:val="412E11B1"/>
    <w:rsid w:val="413A06F5"/>
    <w:rsid w:val="413B5CBF"/>
    <w:rsid w:val="41484770"/>
    <w:rsid w:val="41727B60"/>
    <w:rsid w:val="421000C4"/>
    <w:rsid w:val="4251797B"/>
    <w:rsid w:val="427F2426"/>
    <w:rsid w:val="43355679"/>
    <w:rsid w:val="433F4264"/>
    <w:rsid w:val="435F73AB"/>
    <w:rsid w:val="436A4639"/>
    <w:rsid w:val="43724463"/>
    <w:rsid w:val="437D25BE"/>
    <w:rsid w:val="43856FD2"/>
    <w:rsid w:val="43A448C1"/>
    <w:rsid w:val="43A64554"/>
    <w:rsid w:val="43BB2B7F"/>
    <w:rsid w:val="43EF0B91"/>
    <w:rsid w:val="44135DE5"/>
    <w:rsid w:val="441535D1"/>
    <w:rsid w:val="44CE7380"/>
    <w:rsid w:val="44DD3681"/>
    <w:rsid w:val="452D76AA"/>
    <w:rsid w:val="452F2B8A"/>
    <w:rsid w:val="454A058C"/>
    <w:rsid w:val="45703DA0"/>
    <w:rsid w:val="457C2560"/>
    <w:rsid w:val="460B000B"/>
    <w:rsid w:val="460E0324"/>
    <w:rsid w:val="4614298F"/>
    <w:rsid w:val="4629258A"/>
    <w:rsid w:val="462C1AB8"/>
    <w:rsid w:val="465F78E8"/>
    <w:rsid w:val="467D53CC"/>
    <w:rsid w:val="46AD0904"/>
    <w:rsid w:val="46B620DF"/>
    <w:rsid w:val="46C2364C"/>
    <w:rsid w:val="4702027E"/>
    <w:rsid w:val="473E6DF3"/>
    <w:rsid w:val="476F06AE"/>
    <w:rsid w:val="478C02B5"/>
    <w:rsid w:val="47B07E92"/>
    <w:rsid w:val="47DD2698"/>
    <w:rsid w:val="480A0199"/>
    <w:rsid w:val="48137898"/>
    <w:rsid w:val="48603A3D"/>
    <w:rsid w:val="486D4E7B"/>
    <w:rsid w:val="48B06749"/>
    <w:rsid w:val="48B9495E"/>
    <w:rsid w:val="48C116A1"/>
    <w:rsid w:val="490218D0"/>
    <w:rsid w:val="491E11B7"/>
    <w:rsid w:val="49372A29"/>
    <w:rsid w:val="494A6A1A"/>
    <w:rsid w:val="49507FD2"/>
    <w:rsid w:val="4953280F"/>
    <w:rsid w:val="495443E2"/>
    <w:rsid w:val="4990798C"/>
    <w:rsid w:val="49A12DE0"/>
    <w:rsid w:val="49AA39E1"/>
    <w:rsid w:val="49CB1B1A"/>
    <w:rsid w:val="49DC03DA"/>
    <w:rsid w:val="49E13356"/>
    <w:rsid w:val="4A356245"/>
    <w:rsid w:val="4A3A2756"/>
    <w:rsid w:val="4A541B9F"/>
    <w:rsid w:val="4A542E78"/>
    <w:rsid w:val="4A6D4CF0"/>
    <w:rsid w:val="4A991232"/>
    <w:rsid w:val="4A9C36AB"/>
    <w:rsid w:val="4AA429C2"/>
    <w:rsid w:val="4AB53D21"/>
    <w:rsid w:val="4AC51C5F"/>
    <w:rsid w:val="4AE14FD9"/>
    <w:rsid w:val="4AE3316B"/>
    <w:rsid w:val="4B336E32"/>
    <w:rsid w:val="4B3A3FC5"/>
    <w:rsid w:val="4B7D4D3D"/>
    <w:rsid w:val="4BA16051"/>
    <w:rsid w:val="4BA95F1B"/>
    <w:rsid w:val="4BB87F0C"/>
    <w:rsid w:val="4BE852F1"/>
    <w:rsid w:val="4BF816FB"/>
    <w:rsid w:val="4BFF06FD"/>
    <w:rsid w:val="4BFF416F"/>
    <w:rsid w:val="4C0F1310"/>
    <w:rsid w:val="4C986A78"/>
    <w:rsid w:val="4C9D4A7B"/>
    <w:rsid w:val="4CBB239E"/>
    <w:rsid w:val="4CE4647E"/>
    <w:rsid w:val="4D35326A"/>
    <w:rsid w:val="4D576B6D"/>
    <w:rsid w:val="4D6A4B91"/>
    <w:rsid w:val="4D7E3A1F"/>
    <w:rsid w:val="4D8F25DC"/>
    <w:rsid w:val="4D9120E7"/>
    <w:rsid w:val="4D9C7784"/>
    <w:rsid w:val="4DEE4DD3"/>
    <w:rsid w:val="4E651C92"/>
    <w:rsid w:val="4E91254B"/>
    <w:rsid w:val="4EA075A7"/>
    <w:rsid w:val="4EB33F77"/>
    <w:rsid w:val="4ECA0C78"/>
    <w:rsid w:val="4EE221C8"/>
    <w:rsid w:val="4F002DEE"/>
    <w:rsid w:val="4F2C30EB"/>
    <w:rsid w:val="4F312632"/>
    <w:rsid w:val="4F5A605D"/>
    <w:rsid w:val="4F6F2D9B"/>
    <w:rsid w:val="4F7F146C"/>
    <w:rsid w:val="4F8B326A"/>
    <w:rsid w:val="4F960564"/>
    <w:rsid w:val="4FCF40BF"/>
    <w:rsid w:val="50275CB8"/>
    <w:rsid w:val="5060304C"/>
    <w:rsid w:val="50926CEC"/>
    <w:rsid w:val="50A25243"/>
    <w:rsid w:val="50B57DC8"/>
    <w:rsid w:val="50BC224C"/>
    <w:rsid w:val="513762D6"/>
    <w:rsid w:val="51475FBA"/>
    <w:rsid w:val="51914025"/>
    <w:rsid w:val="51AE428B"/>
    <w:rsid w:val="51AE5D4D"/>
    <w:rsid w:val="51BB0150"/>
    <w:rsid w:val="52445ABB"/>
    <w:rsid w:val="525828C8"/>
    <w:rsid w:val="52584ECC"/>
    <w:rsid w:val="52650DED"/>
    <w:rsid w:val="52762AC4"/>
    <w:rsid w:val="52C70518"/>
    <w:rsid w:val="53793407"/>
    <w:rsid w:val="542E6AC5"/>
    <w:rsid w:val="54562FA3"/>
    <w:rsid w:val="54862A71"/>
    <w:rsid w:val="548B73BA"/>
    <w:rsid w:val="54996B2C"/>
    <w:rsid w:val="54AF6F1C"/>
    <w:rsid w:val="54E0691C"/>
    <w:rsid w:val="54E81862"/>
    <w:rsid w:val="54EC2739"/>
    <w:rsid w:val="54F00AC2"/>
    <w:rsid w:val="54F461F6"/>
    <w:rsid w:val="550A5C7C"/>
    <w:rsid w:val="550E4096"/>
    <w:rsid w:val="551845E5"/>
    <w:rsid w:val="55424B3B"/>
    <w:rsid w:val="55A81A65"/>
    <w:rsid w:val="55A83EEB"/>
    <w:rsid w:val="55B41744"/>
    <w:rsid w:val="566E4C1E"/>
    <w:rsid w:val="569A2D3D"/>
    <w:rsid w:val="569D00D1"/>
    <w:rsid w:val="56B04601"/>
    <w:rsid w:val="575D4CE2"/>
    <w:rsid w:val="578E7900"/>
    <w:rsid w:val="579B567F"/>
    <w:rsid w:val="57B04F36"/>
    <w:rsid w:val="57DF5F8B"/>
    <w:rsid w:val="57EE3D68"/>
    <w:rsid w:val="581A30C8"/>
    <w:rsid w:val="58324C78"/>
    <w:rsid w:val="58357B2D"/>
    <w:rsid w:val="583956E1"/>
    <w:rsid w:val="584D57EF"/>
    <w:rsid w:val="585F5A53"/>
    <w:rsid w:val="586545D2"/>
    <w:rsid w:val="58852AA8"/>
    <w:rsid w:val="593C0927"/>
    <w:rsid w:val="596C2A61"/>
    <w:rsid w:val="59767B81"/>
    <w:rsid w:val="59856687"/>
    <w:rsid w:val="59905953"/>
    <w:rsid w:val="59AD166D"/>
    <w:rsid w:val="59E572D3"/>
    <w:rsid w:val="59EB7906"/>
    <w:rsid w:val="5A0871FF"/>
    <w:rsid w:val="5A0A3C7D"/>
    <w:rsid w:val="5A355549"/>
    <w:rsid w:val="5A644974"/>
    <w:rsid w:val="5A69244D"/>
    <w:rsid w:val="5A703E8B"/>
    <w:rsid w:val="5ACD1969"/>
    <w:rsid w:val="5ADB39F9"/>
    <w:rsid w:val="5AF2316B"/>
    <w:rsid w:val="5B125B53"/>
    <w:rsid w:val="5B236902"/>
    <w:rsid w:val="5B2547A4"/>
    <w:rsid w:val="5B6026D9"/>
    <w:rsid w:val="5BB541EB"/>
    <w:rsid w:val="5BD83E5E"/>
    <w:rsid w:val="5C105324"/>
    <w:rsid w:val="5C161945"/>
    <w:rsid w:val="5C2600EB"/>
    <w:rsid w:val="5C7F1500"/>
    <w:rsid w:val="5CA97FD5"/>
    <w:rsid w:val="5CB45ED9"/>
    <w:rsid w:val="5CCE4C53"/>
    <w:rsid w:val="5CEA5527"/>
    <w:rsid w:val="5CF27F21"/>
    <w:rsid w:val="5D0303DC"/>
    <w:rsid w:val="5D263A15"/>
    <w:rsid w:val="5D33585B"/>
    <w:rsid w:val="5D7D578A"/>
    <w:rsid w:val="5D8472A3"/>
    <w:rsid w:val="5DA0717E"/>
    <w:rsid w:val="5DCB1D21"/>
    <w:rsid w:val="5DD9443E"/>
    <w:rsid w:val="5DDE2CEB"/>
    <w:rsid w:val="5DFC7635"/>
    <w:rsid w:val="5E0661AC"/>
    <w:rsid w:val="5E0B3ABD"/>
    <w:rsid w:val="5E285DD7"/>
    <w:rsid w:val="5E643BA7"/>
    <w:rsid w:val="5ECB09B8"/>
    <w:rsid w:val="5ECC25C7"/>
    <w:rsid w:val="5EE82A02"/>
    <w:rsid w:val="5F1D65AC"/>
    <w:rsid w:val="5F2C2141"/>
    <w:rsid w:val="5FAC5B38"/>
    <w:rsid w:val="5FE67C43"/>
    <w:rsid w:val="5FF941C5"/>
    <w:rsid w:val="600838DB"/>
    <w:rsid w:val="60160C1A"/>
    <w:rsid w:val="60196A5B"/>
    <w:rsid w:val="602D1B16"/>
    <w:rsid w:val="60611F0C"/>
    <w:rsid w:val="60710BD7"/>
    <w:rsid w:val="60800B5A"/>
    <w:rsid w:val="60E97276"/>
    <w:rsid w:val="60F5158E"/>
    <w:rsid w:val="6124201C"/>
    <w:rsid w:val="613748BE"/>
    <w:rsid w:val="61E1572E"/>
    <w:rsid w:val="61FB123A"/>
    <w:rsid w:val="62274D28"/>
    <w:rsid w:val="622814F0"/>
    <w:rsid w:val="6230435D"/>
    <w:rsid w:val="624D4635"/>
    <w:rsid w:val="628B5F45"/>
    <w:rsid w:val="629B1D51"/>
    <w:rsid w:val="629D181E"/>
    <w:rsid w:val="62B92A90"/>
    <w:rsid w:val="6320356B"/>
    <w:rsid w:val="632C023C"/>
    <w:rsid w:val="6360128C"/>
    <w:rsid w:val="63866677"/>
    <w:rsid w:val="63A63014"/>
    <w:rsid w:val="63A83BF1"/>
    <w:rsid w:val="63BD4DC1"/>
    <w:rsid w:val="63EA1B6E"/>
    <w:rsid w:val="647B624F"/>
    <w:rsid w:val="64B96D77"/>
    <w:rsid w:val="64BE76B9"/>
    <w:rsid w:val="64C9678E"/>
    <w:rsid w:val="64D9450A"/>
    <w:rsid w:val="652E28CE"/>
    <w:rsid w:val="658E3FF7"/>
    <w:rsid w:val="65A478BB"/>
    <w:rsid w:val="65AF2A09"/>
    <w:rsid w:val="65B17EDA"/>
    <w:rsid w:val="65D8147F"/>
    <w:rsid w:val="65E46075"/>
    <w:rsid w:val="65ED439B"/>
    <w:rsid w:val="662345DE"/>
    <w:rsid w:val="66316C4D"/>
    <w:rsid w:val="668152B2"/>
    <w:rsid w:val="668F6040"/>
    <w:rsid w:val="674C21E9"/>
    <w:rsid w:val="6764121C"/>
    <w:rsid w:val="67675C16"/>
    <w:rsid w:val="677F73F7"/>
    <w:rsid w:val="67B24E52"/>
    <w:rsid w:val="67B51A77"/>
    <w:rsid w:val="67CF56B2"/>
    <w:rsid w:val="67FF0F45"/>
    <w:rsid w:val="682B3AE8"/>
    <w:rsid w:val="68457402"/>
    <w:rsid w:val="689720A8"/>
    <w:rsid w:val="68A61569"/>
    <w:rsid w:val="68B910F3"/>
    <w:rsid w:val="68B97345"/>
    <w:rsid w:val="68F1169F"/>
    <w:rsid w:val="68FE47F7"/>
    <w:rsid w:val="69036813"/>
    <w:rsid w:val="690A0F91"/>
    <w:rsid w:val="69401221"/>
    <w:rsid w:val="696757C5"/>
    <w:rsid w:val="698C134E"/>
    <w:rsid w:val="69A02CFF"/>
    <w:rsid w:val="69A932FF"/>
    <w:rsid w:val="69ED412F"/>
    <w:rsid w:val="69ED726F"/>
    <w:rsid w:val="6A162576"/>
    <w:rsid w:val="6A5B6920"/>
    <w:rsid w:val="6A676DE9"/>
    <w:rsid w:val="6A771266"/>
    <w:rsid w:val="6A9659A8"/>
    <w:rsid w:val="6AE01EBD"/>
    <w:rsid w:val="6AF61974"/>
    <w:rsid w:val="6B084F40"/>
    <w:rsid w:val="6B75380C"/>
    <w:rsid w:val="6BBD28F3"/>
    <w:rsid w:val="6BC12577"/>
    <w:rsid w:val="6BC350F9"/>
    <w:rsid w:val="6BE85984"/>
    <w:rsid w:val="6BED49AC"/>
    <w:rsid w:val="6C053D46"/>
    <w:rsid w:val="6C0C1856"/>
    <w:rsid w:val="6C1B3E73"/>
    <w:rsid w:val="6C1D26A7"/>
    <w:rsid w:val="6C7F30D3"/>
    <w:rsid w:val="6CD55BE9"/>
    <w:rsid w:val="6CE931C8"/>
    <w:rsid w:val="6CFC7A9E"/>
    <w:rsid w:val="6D4D4E8E"/>
    <w:rsid w:val="6D635AD2"/>
    <w:rsid w:val="6D864391"/>
    <w:rsid w:val="6D870CF8"/>
    <w:rsid w:val="6E3509CB"/>
    <w:rsid w:val="6E581F01"/>
    <w:rsid w:val="6E99244E"/>
    <w:rsid w:val="6ED31B0C"/>
    <w:rsid w:val="6ED36C87"/>
    <w:rsid w:val="6F080554"/>
    <w:rsid w:val="6F235DB8"/>
    <w:rsid w:val="6F5A7125"/>
    <w:rsid w:val="6F6666AE"/>
    <w:rsid w:val="6FAF4213"/>
    <w:rsid w:val="6FF11ABB"/>
    <w:rsid w:val="703A53FA"/>
    <w:rsid w:val="70543F68"/>
    <w:rsid w:val="706F24EB"/>
    <w:rsid w:val="70812E3F"/>
    <w:rsid w:val="70A31FB1"/>
    <w:rsid w:val="70B0102E"/>
    <w:rsid w:val="70F51F68"/>
    <w:rsid w:val="71330988"/>
    <w:rsid w:val="71462F44"/>
    <w:rsid w:val="716B13F9"/>
    <w:rsid w:val="71A212BE"/>
    <w:rsid w:val="71A70ECF"/>
    <w:rsid w:val="71AC1D09"/>
    <w:rsid w:val="71D3178E"/>
    <w:rsid w:val="72185A36"/>
    <w:rsid w:val="722E7AF2"/>
    <w:rsid w:val="72604CD6"/>
    <w:rsid w:val="72763141"/>
    <w:rsid w:val="72974CD8"/>
    <w:rsid w:val="72EB511F"/>
    <w:rsid w:val="730B4666"/>
    <w:rsid w:val="733B39E8"/>
    <w:rsid w:val="73565E93"/>
    <w:rsid w:val="73612AB3"/>
    <w:rsid w:val="7386251A"/>
    <w:rsid w:val="738C13E8"/>
    <w:rsid w:val="73A72BD8"/>
    <w:rsid w:val="73AE6FF9"/>
    <w:rsid w:val="73C179F6"/>
    <w:rsid w:val="73EA7A03"/>
    <w:rsid w:val="74094D54"/>
    <w:rsid w:val="741D2E7E"/>
    <w:rsid w:val="747346F5"/>
    <w:rsid w:val="74746816"/>
    <w:rsid w:val="7481783F"/>
    <w:rsid w:val="74AC5479"/>
    <w:rsid w:val="74E07F5C"/>
    <w:rsid w:val="74ED0F62"/>
    <w:rsid w:val="750115CC"/>
    <w:rsid w:val="75100EF0"/>
    <w:rsid w:val="755C3A82"/>
    <w:rsid w:val="757A6033"/>
    <w:rsid w:val="757E5780"/>
    <w:rsid w:val="75835778"/>
    <w:rsid w:val="75915B3B"/>
    <w:rsid w:val="75975958"/>
    <w:rsid w:val="76115335"/>
    <w:rsid w:val="76155804"/>
    <w:rsid w:val="76255537"/>
    <w:rsid w:val="76421A25"/>
    <w:rsid w:val="769E4CE4"/>
    <w:rsid w:val="76AD21B6"/>
    <w:rsid w:val="76C661CC"/>
    <w:rsid w:val="77B54F41"/>
    <w:rsid w:val="77EA751B"/>
    <w:rsid w:val="77F9113C"/>
    <w:rsid w:val="78085925"/>
    <w:rsid w:val="782A45BB"/>
    <w:rsid w:val="782A6467"/>
    <w:rsid w:val="785224EF"/>
    <w:rsid w:val="786415CB"/>
    <w:rsid w:val="786556E5"/>
    <w:rsid w:val="788E0FB0"/>
    <w:rsid w:val="78930788"/>
    <w:rsid w:val="78A27DF6"/>
    <w:rsid w:val="78BF0E7E"/>
    <w:rsid w:val="78C7585C"/>
    <w:rsid w:val="78F16688"/>
    <w:rsid w:val="795D5ACB"/>
    <w:rsid w:val="79787977"/>
    <w:rsid w:val="7990155E"/>
    <w:rsid w:val="799D4B8E"/>
    <w:rsid w:val="79DC6999"/>
    <w:rsid w:val="79E61F64"/>
    <w:rsid w:val="7A0C2A20"/>
    <w:rsid w:val="7A120793"/>
    <w:rsid w:val="7A5E1AFB"/>
    <w:rsid w:val="7A961E5B"/>
    <w:rsid w:val="7A9C40D9"/>
    <w:rsid w:val="7AD641F2"/>
    <w:rsid w:val="7AF432FD"/>
    <w:rsid w:val="7B0501C8"/>
    <w:rsid w:val="7B2D7249"/>
    <w:rsid w:val="7B3F7B7E"/>
    <w:rsid w:val="7B4B0853"/>
    <w:rsid w:val="7B4B5BF5"/>
    <w:rsid w:val="7B5514A5"/>
    <w:rsid w:val="7B6F1EBC"/>
    <w:rsid w:val="7B725D76"/>
    <w:rsid w:val="7B7C0170"/>
    <w:rsid w:val="7BA41623"/>
    <w:rsid w:val="7BAF33E4"/>
    <w:rsid w:val="7BB160D8"/>
    <w:rsid w:val="7BB225CF"/>
    <w:rsid w:val="7BB75A6B"/>
    <w:rsid w:val="7BCF3F53"/>
    <w:rsid w:val="7BDC00FC"/>
    <w:rsid w:val="7BF344C5"/>
    <w:rsid w:val="7C150379"/>
    <w:rsid w:val="7C345B68"/>
    <w:rsid w:val="7C63299D"/>
    <w:rsid w:val="7C6D01F1"/>
    <w:rsid w:val="7C7761E3"/>
    <w:rsid w:val="7C794C26"/>
    <w:rsid w:val="7CAB0687"/>
    <w:rsid w:val="7D090068"/>
    <w:rsid w:val="7D1B182A"/>
    <w:rsid w:val="7D3C25A3"/>
    <w:rsid w:val="7D3D781A"/>
    <w:rsid w:val="7D724DBB"/>
    <w:rsid w:val="7DB64A58"/>
    <w:rsid w:val="7DC96FEB"/>
    <w:rsid w:val="7E637685"/>
    <w:rsid w:val="7E7C69F3"/>
    <w:rsid w:val="7EE066AE"/>
    <w:rsid w:val="7EE66563"/>
    <w:rsid w:val="7EFB20F2"/>
    <w:rsid w:val="7F174510"/>
    <w:rsid w:val="7F321FA9"/>
    <w:rsid w:val="7F4A2E8A"/>
    <w:rsid w:val="7F4B10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Cambria" w:hAnsi="Cambria"/>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annotation text"/>
    <w:basedOn w:val="1"/>
    <w:link w:val="26"/>
    <w:qFormat/>
    <w:uiPriority w:val="0"/>
    <w:pPr>
      <w:jc w:val="left"/>
    </w:pPr>
  </w:style>
  <w:style w:type="paragraph" w:styleId="7">
    <w:name w:val="Body Text"/>
    <w:basedOn w:val="1"/>
    <w:qFormat/>
    <w:uiPriority w:val="0"/>
    <w:pPr>
      <w:spacing w:after="120"/>
    </w:pPr>
  </w:style>
  <w:style w:type="paragraph" w:styleId="8">
    <w:name w:val="Date"/>
    <w:basedOn w:val="1"/>
    <w:next w:val="1"/>
    <w:qFormat/>
    <w:uiPriority w:val="0"/>
    <w:pPr>
      <w:ind w:left="100" w:firstLine="3584"/>
    </w:pPr>
    <w:rPr>
      <w:rFonts w:ascii="Tahoma"/>
    </w:rPr>
  </w:style>
  <w:style w:type="paragraph" w:styleId="9">
    <w:name w:val="Balloon Text"/>
    <w:basedOn w:val="1"/>
    <w:next w:val="8"/>
    <w:link w:val="24"/>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annotation subject"/>
    <w:basedOn w:val="6"/>
    <w:next w:val="6"/>
    <w:link w:val="27"/>
    <w:qFormat/>
    <w:uiPriority w:val="0"/>
    <w:rPr>
      <w:b/>
      <w:bCs/>
    </w:rPr>
  </w:style>
  <w:style w:type="paragraph" w:styleId="13">
    <w:name w:val="Body Text First Indent"/>
    <w:basedOn w:val="1"/>
    <w:next w:val="14"/>
    <w:qFormat/>
    <w:uiPriority w:val="0"/>
    <w:pPr>
      <w:suppressAutoHyphens/>
      <w:ind w:firstLine="560" w:firstLineChars="200"/>
      <w:jc w:val="left"/>
    </w:pPr>
    <w:rPr>
      <w:rFonts w:cs="Calibri"/>
      <w:kern w:val="1"/>
      <w:lang w:eastAsia="ar-SA"/>
    </w:rPr>
  </w:style>
  <w:style w:type="paragraph" w:customStyle="1" w:styleId="14">
    <w:name w:val="Char Char Char"/>
    <w:basedOn w:val="1"/>
    <w:next w:val="9"/>
    <w:qFormat/>
    <w:uiPriority w:val="0"/>
    <w:pPr>
      <w:spacing w:line="360" w:lineRule="auto"/>
      <w:ind w:firstLine="3584"/>
    </w:pPr>
    <w:rPr>
      <w:rFonts w:ascii="Tahom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basedOn w:val="17"/>
    <w:qFormat/>
    <w:uiPriority w:val="0"/>
    <w:rPr>
      <w:sz w:val="21"/>
      <w:szCs w:val="21"/>
    </w:rPr>
  </w:style>
  <w:style w:type="paragraph" w:customStyle="1" w:styleId="19">
    <w:name w:val="WPSOffice手动目录 1"/>
    <w:qFormat/>
    <w:uiPriority w:val="0"/>
    <w:rPr>
      <w:rFonts w:asciiTheme="minorHAnsi" w:hAnsiTheme="minorHAnsi" w:eastAsiaTheme="minorEastAsia" w:cstheme="minorBidi"/>
      <w:lang w:val="en-US" w:eastAsia="zh-CN" w:bidi="ar-SA"/>
    </w:rPr>
  </w:style>
  <w:style w:type="paragraph" w:customStyle="1" w:styleId="2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1">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22">
    <w:name w:val="列出段落1"/>
    <w:basedOn w:val="1"/>
    <w:qFormat/>
    <w:uiPriority w:val="34"/>
    <w:pPr>
      <w:ind w:firstLine="420" w:firstLineChars="200"/>
    </w:pPr>
  </w:style>
  <w:style w:type="table" w:customStyle="1" w:styleId="23">
    <w:name w:val="网格型1"/>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批注框文本 字符"/>
    <w:basedOn w:val="17"/>
    <w:link w:val="9"/>
    <w:qFormat/>
    <w:uiPriority w:val="0"/>
    <w:rPr>
      <w:rFonts w:asciiTheme="minorHAnsi" w:hAnsiTheme="minorHAnsi" w:eastAsiaTheme="minorEastAsia" w:cstheme="minorBidi"/>
      <w:kern w:val="2"/>
      <w:sz w:val="18"/>
      <w:szCs w:val="18"/>
    </w:rPr>
  </w:style>
  <w:style w:type="paragraph" w:customStyle="1" w:styleId="25">
    <w:name w:val="p0"/>
    <w:basedOn w:val="1"/>
    <w:qFormat/>
    <w:uiPriority w:val="0"/>
    <w:pPr>
      <w:widowControl/>
      <w:spacing w:line="240" w:lineRule="atLeast"/>
    </w:pPr>
    <w:rPr>
      <w:rFonts w:ascii="Times New Roman" w:hAnsi="Times New Roman" w:eastAsia="宋体" w:cs="Times New Roman"/>
      <w:kern w:val="0"/>
      <w:sz w:val="32"/>
      <w:szCs w:val="20"/>
    </w:rPr>
  </w:style>
  <w:style w:type="character" w:customStyle="1" w:styleId="26">
    <w:name w:val="批注文字 字符"/>
    <w:basedOn w:val="17"/>
    <w:link w:val="6"/>
    <w:qFormat/>
    <w:uiPriority w:val="0"/>
    <w:rPr>
      <w:rFonts w:asciiTheme="minorHAnsi" w:hAnsiTheme="minorHAnsi" w:eastAsiaTheme="minorEastAsia" w:cstheme="minorBidi"/>
      <w:kern w:val="2"/>
      <w:sz w:val="21"/>
      <w:szCs w:val="24"/>
    </w:rPr>
  </w:style>
  <w:style w:type="character" w:customStyle="1" w:styleId="27">
    <w:name w:val="批注主题 字符"/>
    <w:basedOn w:val="26"/>
    <w:link w:val="12"/>
    <w:qFormat/>
    <w:uiPriority w:val="0"/>
    <w:rPr>
      <w:rFonts w:asciiTheme="minorHAnsi" w:hAnsiTheme="minorHAnsi" w:eastAsiaTheme="minorEastAsia" w:cstheme="minorBidi"/>
      <w:b/>
      <w:bCs/>
      <w:kern w:val="2"/>
      <w:sz w:val="21"/>
      <w:szCs w:val="24"/>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电业局</Company>
  <Pages>33</Pages>
  <Words>14538</Words>
  <Characters>14818</Characters>
  <Lines>104</Lines>
  <Paragraphs>29</Paragraphs>
  <TotalTime>6</TotalTime>
  <ScaleCrop>false</ScaleCrop>
  <LinksUpToDate>false</LinksUpToDate>
  <CharactersWithSpaces>14859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2020-05-12T15:48:00Z</dcterms:created>
  <dc:creator>mayunxin</dc:creator>
  <cp:lastModifiedBy>段雅璠</cp:lastModifiedBy>
  <cp:lastPrinted>2021-12-23T04:03:00Z</cp:lastPrinted>
  <dcterms:modified xsi:type="dcterms:W3CDTF">2023-10-07T03:48:30Z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A0EDD086D7BE42F6B5271A74DF543C4C</vt:lpwstr>
  </property>
</Properties>
</file>