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0"/>
          <w:szCs w:val="30"/>
          <w:lang w:eastAsia="zh-CN"/>
        </w:rPr>
      </w:pPr>
      <w:r>
        <w:rPr>
          <w:rFonts w:hint="eastAsia" w:ascii="方正小标宋_GBK" w:hAnsi="方正小标宋_GBK" w:eastAsia="方正小标宋_GBK" w:cs="方正小标宋_GBK"/>
          <w:sz w:val="30"/>
          <w:szCs w:val="30"/>
          <w:lang w:eastAsia="zh-CN"/>
        </w:rPr>
        <w:t>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0"/>
          <w:szCs w:val="30"/>
          <w:lang w:eastAsia="zh-CN"/>
        </w:rPr>
      </w:pPr>
    </w:p>
    <w:tbl>
      <w:tblPr>
        <w:tblStyle w:val="2"/>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黑体" w:hAnsi="Times New Roman" w:eastAsia="黑体"/>
                <w:color w:val="000000"/>
                <w:kern w:val="0"/>
                <w:sz w:val="22"/>
              </w:rPr>
            </w:pPr>
          </w:p>
        </w:tc>
        <w:tc>
          <w:tcPr>
            <w:tcW w:w="54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hint="eastAsia" w:ascii="黑体" w:hAnsi="宋体" w:eastAsia="黑体" w:cs="宋体"/>
                <w:color w:val="000000"/>
                <w:kern w:val="0"/>
                <w:sz w:val="22"/>
              </w:rPr>
            </w:pPr>
          </w:p>
        </w:tc>
        <w:tc>
          <w:tcPr>
            <w:tcW w:w="2520" w:type="dxa"/>
            <w:vMerge w:val="continue"/>
            <w:vAlign w:val="center"/>
          </w:tcPr>
          <w:p>
            <w:pPr>
              <w:widowControl/>
              <w:jc w:val="left"/>
              <w:rPr>
                <w:rFonts w:hint="eastAsia" w:ascii="黑体" w:hAnsi="宋体" w:eastAsia="黑体" w:cs="宋体"/>
                <w:color w:val="000000"/>
                <w:kern w:val="0"/>
                <w:sz w:val="22"/>
              </w:rPr>
            </w:pPr>
          </w:p>
        </w:tc>
        <w:tc>
          <w:tcPr>
            <w:tcW w:w="1620" w:type="dxa"/>
            <w:vMerge w:val="continue"/>
            <w:vAlign w:val="center"/>
          </w:tcPr>
          <w:p>
            <w:pPr>
              <w:widowControl/>
              <w:jc w:val="left"/>
              <w:rPr>
                <w:rFonts w:hint="eastAsia" w:ascii="黑体" w:hAnsi="宋体" w:eastAsia="黑体" w:cs="宋体"/>
                <w:color w:val="000000"/>
                <w:kern w:val="0"/>
                <w:sz w:val="22"/>
              </w:rPr>
            </w:pPr>
          </w:p>
        </w:tc>
        <w:tc>
          <w:tcPr>
            <w:tcW w:w="900" w:type="dxa"/>
            <w:vMerge w:val="continue"/>
            <w:vAlign w:val="center"/>
          </w:tcPr>
          <w:p>
            <w:pPr>
              <w:widowControl/>
              <w:jc w:val="left"/>
              <w:rPr>
                <w:rFonts w:hint="eastAsia" w:ascii="黑体" w:hAnsi="宋体" w:eastAsia="黑体" w:cs="宋体"/>
                <w:color w:val="000000"/>
                <w:kern w:val="0"/>
                <w:sz w:val="22"/>
              </w:rPr>
            </w:pPr>
          </w:p>
        </w:tc>
        <w:tc>
          <w:tcPr>
            <w:tcW w:w="2160" w:type="dxa"/>
            <w:vMerge w:val="continue"/>
            <w:vAlign w:val="center"/>
          </w:tcPr>
          <w:p>
            <w:pPr>
              <w:widowControl/>
              <w:jc w:val="left"/>
              <w:rPr>
                <w:rFonts w:hint="eastAsia" w:ascii="黑体" w:hAnsi="宋体" w:eastAsia="黑体" w:cs="宋体"/>
                <w:kern w:val="0"/>
                <w:sz w:val="22"/>
              </w:rPr>
            </w:pPr>
          </w:p>
        </w:tc>
        <w:tc>
          <w:tcPr>
            <w:tcW w:w="54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noWrap/>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w:t>
            </w:r>
          </w:p>
        </w:tc>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机构信息</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基本信息</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1.概况信息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2.联系方式</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3.办公地址</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4.办公时间</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《中华人民共和国政府信息公开条例》等法律法规规章和规范性文件</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540" w:type="dxa"/>
            <w:vAlign w:val="center"/>
          </w:tcPr>
          <w:p>
            <w:pP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机构信息</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法定职责</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依据“三定”规定确定的本部门法定职责</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《中华人民共和国政府信息公开条例》等法律法规规章和规范性文件</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区交通局</w:t>
            </w:r>
          </w:p>
        </w:tc>
        <w:tc>
          <w:tcPr>
            <w:tcW w:w="2160" w:type="dxa"/>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 ■政府网站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540" w:type="dxa"/>
            <w:noWrap/>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机构信息</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领导分工</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1.姓名</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2.职务</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3.工作分工</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《中华人民共和国政府信息公开条例》等法律法规规章和规范性文件</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区交通局</w:t>
            </w:r>
          </w:p>
        </w:tc>
        <w:tc>
          <w:tcPr>
            <w:tcW w:w="2160" w:type="dxa"/>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540" w:type="dxa"/>
            <w:vAlign w:val="center"/>
          </w:tcPr>
          <w:p>
            <w:pP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信息公开</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信息公开专栏</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1.信息公开指南</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xml:space="preserve">3.法定公开内容       </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xml:space="preserve">4.信息公开年报       </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5.信息依申请公开（平台或途径）</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6.政务公开事项清单</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《中华人民共和国政府信息公开条例》等法律法规规章和规范性文件</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区交通局</w:t>
            </w:r>
          </w:p>
        </w:tc>
        <w:tc>
          <w:tcPr>
            <w:tcW w:w="2160" w:type="dxa"/>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建议提案</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人大建议政协提案办理</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1.可公开的建议提案办理复文</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2.本单位办理建议提案总体情况及重要工作进展</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《国务院办公厅关于做好全国人大代表建议和全国政协委员提案办理结果公开工作的通知》等</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政策文件</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行政规章</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重大项目领域文件</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《国务院办公厅印发&lt;关于全面推进政务公开工作的意见&gt;实施细则的通知》等</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政策文件</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行业部门文件</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规范性文件</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《国务院办公厅印发&lt;关于全面推进政务公开工作的意见&gt;实施细则的通知》等</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政策文件</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政策解读</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对上级或本部门印发的规范性文件的解读材料等信息</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《国务院办公厅印发&lt;关于全面推进政务公开工作的意见&gt;实施细则的通知》等</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政民互动</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回应关切</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针对涉及本部门本行业的热点舆情发布的回应信息</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《国务院办公厅印发&lt;关于全面推进政务公开工作的意见&gt;实施细则的通知》《国务院办公厅关于在政务公开工作中进一步做好政务舆情回应的通知》</w:t>
            </w:r>
          </w:p>
        </w:tc>
        <w:tc>
          <w:tcPr>
            <w:tcW w:w="162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及时公开</w:t>
            </w:r>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重点领域信息</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权责清单</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1.经相关部门核定的权力和责任清单</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2.权力运行流程图</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《中华人民共和国政府信息公开条例》等</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重点领域信息</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统计数据</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交通运输发展相关的统计信息     </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《中华人民共和国政府信息公开条例》等</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重点领域信息</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财政资金</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1.财政预决算报告</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xml:space="preserve">2.经费信息 </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3.政府采购信息</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《中华人民共和国预算法》《中华人民共和国政府信息公开条例》等</w:t>
            </w:r>
          </w:p>
        </w:tc>
        <w:tc>
          <w:tcPr>
            <w:tcW w:w="1620" w:type="dxa"/>
            <w:vAlign w:val="center"/>
          </w:tcPr>
          <w:p>
            <w:pPr>
              <w:rPr>
                <w:rFonts w:hint="eastAsia" w:ascii="仿宋_GB2312" w:hAnsi="仿宋" w:eastAsia="仿宋_GB2312" w:cs="宋体"/>
                <w:color w:val="000000"/>
                <w:sz w:val="18"/>
                <w:szCs w:val="18"/>
              </w:rPr>
            </w:pPr>
            <w:r>
              <w:rPr>
                <w:rFonts w:hint="eastAsia" w:ascii="仿宋_GB2312" w:hAnsi="仿宋" w:eastAsia="仿宋_GB2312" w:cs="宋体"/>
                <w:color w:val="000000"/>
                <w:sz w:val="18"/>
                <w:szCs w:val="18"/>
              </w:rPr>
              <w:t>信息产生或变更之日起20个工作日内公开，保持长期公开（相关法律法规另有规定的，从其规定）</w:t>
            </w:r>
            <w:bookmarkStart w:id="0" w:name="_GoBack"/>
            <w:bookmarkEnd w:id="0"/>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事项办理</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（行政许可）</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（共26项）1、远洋渔业船舶检验和渔业船舶船用产品认可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2、港口危险货物作业的建设项目安全设施设计审查</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3、新建、改建、扩建从事港口危险货物作业的建设项目安全条件审查</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4、建设港口设施使用非深水岸线审批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5、内河通航水域载运或拖带超重、超长、超高、超宽、半潜物体许可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6、外国籍船舶进入或临时进入非对外开放水域许可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7、港口内进行危险货物的装卸、过驳作业许可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8、专用航标的设置、撤除、位移和其他状况改变审批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9、外资企业、中外合资经营企业、中外合作经营企业经营中华人民共和国沿海、江河、湖泊及其他通航水域水路运输审批（原）</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10、港口经营许可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11、通航建筑物运行方案审批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12、船员适任证书的核发</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13、船舶国籍证书的核发</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14、渔业船舶及船用产品检验</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15、更新采伐护路林审批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16、国家重点公路工程设计审批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17、公路建设项目施工许可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18、公路建筑控制区内埋设管线、电缆等设施许可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19、跨越、穿越公路修建桥梁、渡槽或者架设、埋设管道、电缆等设施，及在公路用地范围内架设、埋设管线、电缆等设施，或者利用公路桥梁、公路隧道、涵洞铺设电缆等设施许可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20、设置非公路标志审批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21、在公路增设或改造平面交叉道口审批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22、占用、挖掘公路、公路用地或者使公路改线审批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23、公路水运工程建设项目设计文件审批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24、公路建设项目竣工验收</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25、公路超限运输许可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26、港口采掘、爆破施工作业许可</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1.基本信息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2.受理条件</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3.设定依据</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4.办理流程</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5.收费标准</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6.办理材料目录</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7.办理结果样本</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8.办理结果</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《中华人民共和国政府信息公开条例》等</w:t>
            </w:r>
          </w:p>
        </w:tc>
        <w:tc>
          <w:tcPr>
            <w:tcW w:w="1620" w:type="dxa"/>
            <w:vAlign w:val="center"/>
          </w:tcPr>
          <w:p>
            <w:pPr>
              <w:rPr>
                <w:rFonts w:hint="eastAsia" w:ascii="仿宋_GB2312" w:hAnsi="仿宋" w:eastAsia="仿宋_GB2312" w:cs="宋体"/>
                <w:color w:val="000000"/>
                <w:sz w:val="18"/>
                <w:szCs w:val="18"/>
              </w:rPr>
            </w:pPr>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一体化在线政务服务平台</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w:t>
            </w:r>
          </w:p>
        </w:tc>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事项办理</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（行政确认）</w:t>
            </w:r>
          </w:p>
        </w:tc>
        <w:tc>
          <w:tcPr>
            <w:tcW w:w="90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（共12项）：1、船舶建造重要日期确认</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2、海事声明签注</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3、对公路、水运工程交工验收前质量检测</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4、公路工程交工验收向交通主管部门的备案</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5、船舶最低安全配员证书的核发</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6、船舶名称的核准</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7、船舶登记（包含所有权、变更、抵押权、注销、光船租赁、废钢船）</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8、公路施工作业的验收</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9、内河交通事故的认定</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10、公路涉路施工的作业验收</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11、航道通航条件影响评价审核</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12、对公路桥梁安全的确认</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1.基本信息</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2.受理条件</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3.设定依据</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4.办理流程</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5.收费标准</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6.办理材料目录</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7.办理结果样本</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8.办理结果</w:t>
            </w:r>
          </w:p>
        </w:tc>
        <w:tc>
          <w:tcPr>
            <w:tcW w:w="252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《中华人民共和国政府信息公开条例》等</w:t>
            </w:r>
          </w:p>
        </w:tc>
        <w:tc>
          <w:tcPr>
            <w:tcW w:w="1620" w:type="dxa"/>
            <w:vAlign w:val="center"/>
          </w:tcPr>
          <w:p>
            <w:pPr>
              <w:rPr>
                <w:rFonts w:hint="eastAsia" w:ascii="仿宋_GB2312" w:hAnsi="仿宋" w:eastAsia="仿宋_GB2312" w:cs="宋体"/>
                <w:color w:val="000000"/>
                <w:sz w:val="18"/>
                <w:szCs w:val="18"/>
              </w:rPr>
            </w:pPr>
          </w:p>
        </w:tc>
        <w:tc>
          <w:tcPr>
            <w:tcW w:w="900" w:type="dxa"/>
            <w:vAlign w:val="center"/>
          </w:tcPr>
          <w:p>
            <w:pPr>
              <w:rPr>
                <w:rFonts w:hint="eastAsia"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区交通局</w:t>
            </w:r>
          </w:p>
        </w:tc>
        <w:tc>
          <w:tcPr>
            <w:tcW w:w="2160" w:type="dxa"/>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 一体化在线政务服务平台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p>
        </w:tc>
      </w:tr>
    </w:tbl>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MTg2MmU4ODVjZDM4YmNjNTdiNTZlMDlmYWQ4ZmYifQ=="/>
  </w:docVars>
  <w:rsids>
    <w:rsidRoot w:val="775540C5"/>
    <w:rsid w:val="01285A31"/>
    <w:rsid w:val="7755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Words>
  <Characters>83</Characters>
  <Lines>0</Lines>
  <Paragraphs>0</Paragraphs>
  <TotalTime>1</TotalTime>
  <ScaleCrop>false</ScaleCrop>
  <LinksUpToDate>false</LinksUpToDate>
  <CharactersWithSpaces>104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2022-11-16T02:13:00Z</dcterms:created>
  <dc:creator>Administrator</dc:creator>
  <cp:lastModifiedBy>高璇</cp:lastModifiedBy>
  <dcterms:modified xsi:type="dcterms:W3CDTF">2022-11-16T07:40:37Z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D4008512E9FC41A1A9F6FA6C4497C44F</vt:lpwstr>
  </property>
</Properties>
</file>